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B7D2F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r w:rsidR="00CF788B">
              <w:t>0.</w:t>
            </w:r>
            <w:r w:rsidR="003D5398">
              <w:t>2</w:t>
            </w:r>
            <w:bookmarkEnd w:id="2"/>
            <w:r w:rsidRPr="004D3578">
              <w:t xml:space="preserve"> </w:t>
            </w:r>
            <w:r w:rsidRPr="00133525">
              <w:rPr>
                <w:sz w:val="32"/>
              </w:rPr>
              <w:t>(</w:t>
            </w:r>
            <w:r w:rsidR="00997B9D">
              <w:rPr>
                <w:sz w:val="32"/>
              </w:rPr>
              <w:t>2021-07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653799DC" w14:textId="051BDFF7" w:rsidR="004F0988" w:rsidRPr="00A0524F" w:rsidRDefault="004F0988" w:rsidP="00133525">
            <w:pPr>
              <w:pStyle w:val="ZT"/>
              <w:framePr w:wrap="auto" w:hAnchor="text" w:yAlign="inline"/>
            </w:pPr>
            <w:r w:rsidRPr="00A0524F">
              <w:t xml:space="preserve">Technical Specification Group </w:t>
            </w:r>
            <w:bookmarkStart w:id="4" w:name="specTitle"/>
            <w:r w:rsidR="00F63B43" w:rsidRPr="00A0524F">
              <w:t>SA</w:t>
            </w:r>
            <w:r w:rsidRPr="00A0524F">
              <w:t>;</w:t>
            </w:r>
          </w:p>
          <w:p w14:paraId="211669E9" w14:textId="5A1E7177" w:rsidR="004F0988" w:rsidRPr="00A0524F" w:rsidRDefault="00E87518" w:rsidP="00133525">
            <w:pPr>
              <w:pStyle w:val="ZT"/>
              <w:framePr w:wrap="auto" w:hAnchor="text" w:yAlign="inline"/>
            </w:pPr>
            <w:r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5B2ED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5.25pt">
                  <v:imagedata r:id="rId9" o:title="5G-logo_175px"/>
                </v:shape>
              </w:pict>
            </w:r>
          </w:p>
        </w:tc>
        <w:tc>
          <w:tcPr>
            <w:tcW w:w="5540" w:type="dxa"/>
            <w:shd w:val="clear" w:color="auto" w:fill="auto"/>
          </w:tcPr>
          <w:p w14:paraId="26F08BD1" w14:textId="77777777" w:rsidR="00D82E6F" w:rsidRDefault="005B2ED6" w:rsidP="00D82E6F">
            <w:pPr>
              <w:jc w:val="right"/>
            </w:pPr>
            <w:bookmarkStart w:id="6" w:name="logos"/>
            <w:r>
              <w:pict w14:anchorId="07842277">
                <v:shape id="_x0000_i1026" type="#_x0000_t75" style="width:129.75pt;height:78.7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2DB14C04" w14:textId="6AC64555" w:rsidR="00F24860" w:rsidRPr="00412466"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F24860">
        <w:t>Foreword</w:t>
      </w:r>
      <w:r w:rsidR="00F24860">
        <w:tab/>
      </w:r>
      <w:r w:rsidR="00F24860">
        <w:fldChar w:fldCharType="begin"/>
      </w:r>
      <w:r w:rsidR="00F24860">
        <w:instrText xml:space="preserve"> PAGEREF _Toc76548405 \h </w:instrText>
      </w:r>
      <w:r w:rsidR="00F24860">
        <w:fldChar w:fldCharType="separate"/>
      </w:r>
      <w:r w:rsidR="00F24860">
        <w:t>4</w:t>
      </w:r>
      <w:r w:rsidR="00F24860">
        <w:fldChar w:fldCharType="end"/>
      </w:r>
    </w:p>
    <w:p w14:paraId="05BDF346" w14:textId="0222A753" w:rsidR="00F24860" w:rsidRPr="00412466" w:rsidRDefault="00F24860">
      <w:pPr>
        <w:pStyle w:val="TOC1"/>
        <w:rPr>
          <w:rFonts w:ascii="Calibri" w:eastAsia="DengXian" w:hAnsi="Calibri"/>
          <w:szCs w:val="22"/>
          <w:lang w:val="en-US" w:eastAsia="zh-CN"/>
        </w:rPr>
      </w:pPr>
      <w:r>
        <w:t>Introduction</w:t>
      </w:r>
      <w:r>
        <w:tab/>
      </w:r>
      <w:r>
        <w:fldChar w:fldCharType="begin"/>
      </w:r>
      <w:r>
        <w:instrText xml:space="preserve"> PAGEREF _Toc76548406 \h </w:instrText>
      </w:r>
      <w:r>
        <w:fldChar w:fldCharType="separate"/>
      </w:r>
      <w:r>
        <w:t>6</w:t>
      </w:r>
      <w:r>
        <w:fldChar w:fldCharType="end"/>
      </w:r>
    </w:p>
    <w:p w14:paraId="632A7249" w14:textId="123F07B9" w:rsidR="00F24860" w:rsidRPr="00412466" w:rsidRDefault="00F24860">
      <w:pPr>
        <w:pStyle w:val="TOC1"/>
        <w:rPr>
          <w:rFonts w:ascii="Calibri" w:eastAsia="DengXian" w:hAnsi="Calibri"/>
          <w:szCs w:val="22"/>
          <w:lang w:val="en-US" w:eastAsia="zh-CN"/>
        </w:rPr>
      </w:pPr>
      <w:r>
        <w:t>1</w:t>
      </w:r>
      <w:r w:rsidRPr="00412466">
        <w:rPr>
          <w:rFonts w:ascii="Calibri" w:eastAsia="DengXian" w:hAnsi="Calibri"/>
          <w:szCs w:val="22"/>
          <w:lang w:val="en-US" w:eastAsia="zh-CN"/>
        </w:rPr>
        <w:tab/>
      </w:r>
      <w:r>
        <w:t>Scope</w:t>
      </w:r>
      <w:r>
        <w:tab/>
      </w:r>
      <w:r>
        <w:fldChar w:fldCharType="begin"/>
      </w:r>
      <w:r>
        <w:instrText xml:space="preserve"> PAGEREF _Toc76548407 \h </w:instrText>
      </w:r>
      <w:r>
        <w:fldChar w:fldCharType="separate"/>
      </w:r>
      <w:r>
        <w:t>7</w:t>
      </w:r>
      <w:r>
        <w:fldChar w:fldCharType="end"/>
      </w:r>
    </w:p>
    <w:p w14:paraId="6E6F3AA6" w14:textId="57EFE4A9" w:rsidR="00F24860" w:rsidRPr="00412466" w:rsidRDefault="00F24860">
      <w:pPr>
        <w:pStyle w:val="TOC1"/>
        <w:rPr>
          <w:rFonts w:ascii="Calibri" w:eastAsia="DengXian" w:hAnsi="Calibri"/>
          <w:szCs w:val="22"/>
          <w:lang w:val="en-US" w:eastAsia="zh-CN"/>
        </w:rPr>
      </w:pPr>
      <w:r>
        <w:t>2</w:t>
      </w:r>
      <w:r w:rsidRPr="00412466">
        <w:rPr>
          <w:rFonts w:ascii="Calibri" w:eastAsia="DengXian" w:hAnsi="Calibri"/>
          <w:szCs w:val="22"/>
          <w:lang w:val="en-US" w:eastAsia="zh-CN"/>
        </w:rPr>
        <w:tab/>
      </w:r>
      <w:r>
        <w:t>References</w:t>
      </w:r>
      <w:r>
        <w:tab/>
      </w:r>
      <w:r>
        <w:fldChar w:fldCharType="begin"/>
      </w:r>
      <w:r>
        <w:instrText xml:space="preserve"> PAGEREF _Toc76548408 \h </w:instrText>
      </w:r>
      <w:r>
        <w:fldChar w:fldCharType="separate"/>
      </w:r>
      <w:r>
        <w:t>7</w:t>
      </w:r>
      <w:r>
        <w:fldChar w:fldCharType="end"/>
      </w:r>
    </w:p>
    <w:p w14:paraId="3C29F43B" w14:textId="1449D0EF" w:rsidR="00F24860" w:rsidRPr="00412466" w:rsidRDefault="00F24860">
      <w:pPr>
        <w:pStyle w:val="TOC1"/>
        <w:rPr>
          <w:rFonts w:ascii="Calibri" w:eastAsia="DengXian" w:hAnsi="Calibri"/>
          <w:szCs w:val="22"/>
          <w:lang w:val="en-US" w:eastAsia="zh-CN"/>
        </w:rPr>
      </w:pPr>
      <w:r>
        <w:t>3</w:t>
      </w:r>
      <w:r w:rsidRPr="00412466">
        <w:rPr>
          <w:rFonts w:ascii="Calibri" w:eastAsia="DengXian" w:hAnsi="Calibri"/>
          <w:szCs w:val="22"/>
          <w:lang w:val="en-US" w:eastAsia="zh-CN"/>
        </w:rPr>
        <w:tab/>
      </w:r>
      <w:r>
        <w:t>Definitions of terms, symbols and abbreviations</w:t>
      </w:r>
      <w:r>
        <w:tab/>
      </w:r>
      <w:r>
        <w:fldChar w:fldCharType="begin"/>
      </w:r>
      <w:r>
        <w:instrText xml:space="preserve"> PAGEREF _Toc76548409 \h </w:instrText>
      </w:r>
      <w:r>
        <w:fldChar w:fldCharType="separate"/>
      </w:r>
      <w:r>
        <w:t>7</w:t>
      </w:r>
      <w:r>
        <w:fldChar w:fldCharType="end"/>
      </w:r>
    </w:p>
    <w:p w14:paraId="308B5413" w14:textId="2F42A90B" w:rsidR="00F24860" w:rsidRPr="00412466" w:rsidRDefault="00F24860">
      <w:pPr>
        <w:pStyle w:val="TOC2"/>
        <w:rPr>
          <w:rFonts w:ascii="Calibri" w:eastAsia="DengXian" w:hAnsi="Calibri"/>
          <w:sz w:val="22"/>
          <w:szCs w:val="22"/>
          <w:lang w:val="en-US" w:eastAsia="zh-CN"/>
        </w:rPr>
      </w:pPr>
      <w:r>
        <w:t>3.1</w:t>
      </w:r>
      <w:r w:rsidRPr="00412466">
        <w:rPr>
          <w:rFonts w:ascii="Calibri" w:eastAsia="DengXian" w:hAnsi="Calibri"/>
          <w:sz w:val="22"/>
          <w:szCs w:val="22"/>
          <w:lang w:val="en-US" w:eastAsia="zh-CN"/>
        </w:rPr>
        <w:tab/>
      </w:r>
      <w:r>
        <w:t>Terms</w:t>
      </w:r>
      <w:r>
        <w:tab/>
      </w:r>
      <w:r>
        <w:fldChar w:fldCharType="begin"/>
      </w:r>
      <w:r>
        <w:instrText xml:space="preserve"> PAGEREF _Toc76548410 \h </w:instrText>
      </w:r>
      <w:r>
        <w:fldChar w:fldCharType="separate"/>
      </w:r>
      <w:r>
        <w:t>7</w:t>
      </w:r>
      <w:r>
        <w:fldChar w:fldCharType="end"/>
      </w:r>
    </w:p>
    <w:p w14:paraId="6C25322B" w14:textId="53B7F6E2" w:rsidR="00F24860" w:rsidRPr="00412466" w:rsidRDefault="00F24860">
      <w:pPr>
        <w:pStyle w:val="TOC2"/>
        <w:rPr>
          <w:rFonts w:ascii="Calibri" w:eastAsia="DengXian" w:hAnsi="Calibri"/>
          <w:sz w:val="22"/>
          <w:szCs w:val="22"/>
          <w:lang w:val="en-US" w:eastAsia="zh-CN"/>
        </w:rPr>
      </w:pPr>
      <w:r>
        <w:t>3.2</w:t>
      </w:r>
      <w:r w:rsidRPr="00412466">
        <w:rPr>
          <w:rFonts w:ascii="Calibri" w:eastAsia="DengXian" w:hAnsi="Calibri"/>
          <w:sz w:val="22"/>
          <w:szCs w:val="22"/>
          <w:lang w:val="en-US" w:eastAsia="zh-CN"/>
        </w:rPr>
        <w:tab/>
      </w:r>
      <w:r>
        <w:t>Symbols</w:t>
      </w:r>
      <w:r>
        <w:tab/>
      </w:r>
      <w:r>
        <w:fldChar w:fldCharType="begin"/>
      </w:r>
      <w:r>
        <w:instrText xml:space="preserve"> PAGEREF _Toc76548411 \h </w:instrText>
      </w:r>
      <w:r>
        <w:fldChar w:fldCharType="separate"/>
      </w:r>
      <w:r>
        <w:t>7</w:t>
      </w:r>
      <w:r>
        <w:fldChar w:fldCharType="end"/>
      </w:r>
    </w:p>
    <w:p w14:paraId="6A029095" w14:textId="6CFC1F0C" w:rsidR="00F24860" w:rsidRPr="00412466" w:rsidRDefault="00F24860">
      <w:pPr>
        <w:pStyle w:val="TOC2"/>
        <w:rPr>
          <w:rFonts w:ascii="Calibri" w:eastAsia="DengXian" w:hAnsi="Calibri"/>
          <w:sz w:val="22"/>
          <w:szCs w:val="22"/>
          <w:lang w:val="en-US" w:eastAsia="zh-CN"/>
        </w:rPr>
      </w:pPr>
      <w:r>
        <w:t>3.3</w:t>
      </w:r>
      <w:r w:rsidRPr="00412466">
        <w:rPr>
          <w:rFonts w:ascii="Calibri" w:eastAsia="DengXian" w:hAnsi="Calibri"/>
          <w:sz w:val="22"/>
          <w:szCs w:val="22"/>
          <w:lang w:val="en-US" w:eastAsia="zh-CN"/>
        </w:rPr>
        <w:tab/>
      </w:r>
      <w:r>
        <w:t>Abbreviations</w:t>
      </w:r>
      <w:r>
        <w:tab/>
      </w:r>
      <w:r>
        <w:fldChar w:fldCharType="begin"/>
      </w:r>
      <w:r>
        <w:instrText xml:space="preserve"> PAGEREF _Toc76548412 \h </w:instrText>
      </w:r>
      <w:r>
        <w:fldChar w:fldCharType="separate"/>
      </w:r>
      <w:r>
        <w:t>8</w:t>
      </w:r>
      <w:r>
        <w:fldChar w:fldCharType="end"/>
      </w:r>
    </w:p>
    <w:p w14:paraId="7F7192CB" w14:textId="3DF3B974" w:rsidR="00F24860" w:rsidRPr="00412466" w:rsidRDefault="00F24860">
      <w:pPr>
        <w:pStyle w:val="TOC1"/>
        <w:rPr>
          <w:rFonts w:ascii="Calibri" w:eastAsia="DengXian" w:hAnsi="Calibri"/>
          <w:szCs w:val="22"/>
          <w:lang w:val="en-US" w:eastAsia="zh-CN"/>
        </w:rPr>
      </w:pPr>
      <w:r>
        <w:t>4</w:t>
      </w:r>
      <w:r w:rsidRPr="00412466">
        <w:rPr>
          <w:rFonts w:ascii="Calibri" w:eastAsia="DengXian" w:hAnsi="Calibri"/>
          <w:szCs w:val="22"/>
          <w:lang w:val="en-US" w:eastAsia="zh-CN"/>
        </w:rPr>
        <w:tab/>
      </w:r>
      <w:r>
        <w:t>Network-side procedures</w:t>
      </w:r>
      <w:r>
        <w:tab/>
      </w:r>
      <w:r>
        <w:fldChar w:fldCharType="begin"/>
      </w:r>
      <w:r>
        <w:instrText xml:space="preserve"> PAGEREF _Toc76548413 \h </w:instrText>
      </w:r>
      <w:r>
        <w:fldChar w:fldCharType="separate"/>
      </w:r>
      <w:r>
        <w:t>8</w:t>
      </w:r>
      <w:r>
        <w:fldChar w:fldCharType="end"/>
      </w:r>
    </w:p>
    <w:p w14:paraId="431980D0" w14:textId="399AB191" w:rsidR="00F24860" w:rsidRPr="00412466" w:rsidRDefault="00F24860">
      <w:pPr>
        <w:pStyle w:val="TOC2"/>
        <w:rPr>
          <w:rFonts w:ascii="Calibri" w:eastAsia="DengXian" w:hAnsi="Calibri"/>
          <w:sz w:val="22"/>
          <w:szCs w:val="22"/>
          <w:lang w:val="en-US" w:eastAsia="zh-CN"/>
        </w:rPr>
      </w:pPr>
      <w:r>
        <w:t>4.1</w:t>
      </w:r>
      <w:r w:rsidRPr="00412466">
        <w:rPr>
          <w:rFonts w:ascii="Calibri" w:eastAsia="DengXian" w:hAnsi="Calibri"/>
          <w:sz w:val="22"/>
          <w:szCs w:val="22"/>
          <w:lang w:val="en-US" w:eastAsia="zh-CN"/>
        </w:rPr>
        <w:tab/>
      </w:r>
      <w:r>
        <w:t>Data collection and reporting provisioning by ASP</w:t>
      </w:r>
      <w:r>
        <w:tab/>
      </w:r>
      <w:r>
        <w:fldChar w:fldCharType="begin"/>
      </w:r>
      <w:r>
        <w:instrText xml:space="preserve"> PAGEREF _Toc76548414 \h </w:instrText>
      </w:r>
      <w:r>
        <w:fldChar w:fldCharType="separate"/>
      </w:r>
      <w:r>
        <w:t>8</w:t>
      </w:r>
      <w:r>
        <w:fldChar w:fldCharType="end"/>
      </w:r>
    </w:p>
    <w:p w14:paraId="446F8A32" w14:textId="5F6527AC" w:rsidR="00F24860" w:rsidRPr="00412466" w:rsidRDefault="00F24860">
      <w:pPr>
        <w:pStyle w:val="TOC2"/>
        <w:rPr>
          <w:rFonts w:ascii="Calibri" w:eastAsia="DengXian" w:hAnsi="Calibri"/>
          <w:sz w:val="22"/>
          <w:szCs w:val="22"/>
          <w:lang w:val="en-US" w:eastAsia="zh-CN"/>
        </w:rPr>
      </w:pPr>
      <w:r>
        <w:t>4.2</w:t>
      </w:r>
      <w:r w:rsidRPr="00412466">
        <w:rPr>
          <w:rFonts w:ascii="Calibri" w:eastAsia="DengXian" w:hAnsi="Calibri"/>
          <w:sz w:val="22"/>
          <w:szCs w:val="22"/>
          <w:lang w:val="en-US" w:eastAsia="zh-CN"/>
        </w:rPr>
        <w:tab/>
      </w:r>
      <w:r>
        <w:t>Data reporting configuration by Data Collection AF</w:t>
      </w:r>
      <w:r>
        <w:tab/>
      </w:r>
      <w:r>
        <w:fldChar w:fldCharType="begin"/>
      </w:r>
      <w:r>
        <w:instrText xml:space="preserve"> PAGEREF _Toc76548415 \h </w:instrText>
      </w:r>
      <w:r>
        <w:fldChar w:fldCharType="separate"/>
      </w:r>
      <w:r>
        <w:t>8</w:t>
      </w:r>
      <w:r>
        <w:fldChar w:fldCharType="end"/>
      </w:r>
    </w:p>
    <w:p w14:paraId="061589D1" w14:textId="72EA7936" w:rsidR="00F24860" w:rsidRPr="00412466" w:rsidRDefault="00F24860">
      <w:pPr>
        <w:pStyle w:val="TOC2"/>
        <w:rPr>
          <w:rFonts w:ascii="Calibri" w:eastAsia="DengXian" w:hAnsi="Calibri"/>
          <w:sz w:val="22"/>
          <w:szCs w:val="22"/>
          <w:lang w:val="en-US" w:eastAsia="zh-CN"/>
        </w:rPr>
      </w:pPr>
      <w:r>
        <w:t>4.3</w:t>
      </w:r>
      <w:r w:rsidRPr="00412466">
        <w:rPr>
          <w:rFonts w:ascii="Calibri" w:eastAsia="DengXian" w:hAnsi="Calibri"/>
          <w:sz w:val="22"/>
          <w:szCs w:val="22"/>
          <w:lang w:val="en-US" w:eastAsia="zh-CN"/>
        </w:rPr>
        <w:tab/>
      </w:r>
      <w:r>
        <w:t>Event subscription, management and publication</w:t>
      </w:r>
      <w:r>
        <w:tab/>
      </w:r>
      <w:r>
        <w:fldChar w:fldCharType="begin"/>
      </w:r>
      <w:r>
        <w:instrText xml:space="preserve"> PAGEREF _Toc76548416 \h </w:instrText>
      </w:r>
      <w:r>
        <w:fldChar w:fldCharType="separate"/>
      </w:r>
      <w:r>
        <w:t>8</w:t>
      </w:r>
      <w:r>
        <w:fldChar w:fldCharType="end"/>
      </w:r>
    </w:p>
    <w:p w14:paraId="0354CEC0" w14:textId="7943706D" w:rsidR="00F24860" w:rsidRPr="00412466" w:rsidRDefault="00F24860">
      <w:pPr>
        <w:pStyle w:val="TOC2"/>
        <w:rPr>
          <w:rFonts w:ascii="Calibri" w:eastAsia="DengXian" w:hAnsi="Calibri"/>
          <w:sz w:val="22"/>
          <w:szCs w:val="22"/>
          <w:lang w:val="en-US" w:eastAsia="zh-CN"/>
        </w:rPr>
      </w:pPr>
      <w:r>
        <w:t>4.4</w:t>
      </w:r>
      <w:r w:rsidRPr="00412466">
        <w:rPr>
          <w:rFonts w:ascii="Calibri" w:eastAsia="DengXian" w:hAnsi="Calibri"/>
          <w:sz w:val="22"/>
          <w:szCs w:val="22"/>
          <w:lang w:val="en-US" w:eastAsia="zh-CN"/>
        </w:rPr>
        <w:tab/>
      </w:r>
      <w:r>
        <w:t>Indirect reporting</w:t>
      </w:r>
      <w:r>
        <w:tab/>
      </w:r>
      <w:r>
        <w:fldChar w:fldCharType="begin"/>
      </w:r>
      <w:r>
        <w:instrText xml:space="preserve"> PAGEREF _Toc76548417 \h </w:instrText>
      </w:r>
      <w:r>
        <w:fldChar w:fldCharType="separate"/>
      </w:r>
      <w:r>
        <w:t>9</w:t>
      </w:r>
      <w:r>
        <w:fldChar w:fldCharType="end"/>
      </w:r>
    </w:p>
    <w:p w14:paraId="678C5B96" w14:textId="37205ABA" w:rsidR="00F24860" w:rsidRPr="00412466" w:rsidRDefault="00F24860">
      <w:pPr>
        <w:pStyle w:val="TOC2"/>
        <w:rPr>
          <w:rFonts w:ascii="Calibri" w:eastAsia="DengXian" w:hAnsi="Calibri"/>
          <w:sz w:val="22"/>
          <w:szCs w:val="22"/>
          <w:lang w:val="en-US" w:eastAsia="zh-CN"/>
        </w:rPr>
      </w:pPr>
      <w:r>
        <w:t>4.5</w:t>
      </w:r>
      <w:r w:rsidRPr="00412466">
        <w:rPr>
          <w:rFonts w:ascii="Calibri" w:eastAsia="DengXian" w:hAnsi="Calibri"/>
          <w:sz w:val="22"/>
          <w:szCs w:val="22"/>
          <w:lang w:val="en-US" w:eastAsia="zh-CN"/>
        </w:rPr>
        <w:tab/>
      </w:r>
      <w:r>
        <w:t>Reporting by another AS/AF to Data Collection AF</w:t>
      </w:r>
      <w:r>
        <w:tab/>
      </w:r>
      <w:r>
        <w:fldChar w:fldCharType="begin"/>
      </w:r>
      <w:r>
        <w:instrText xml:space="preserve"> PAGEREF _Toc76548418 \h </w:instrText>
      </w:r>
      <w:r>
        <w:fldChar w:fldCharType="separate"/>
      </w:r>
      <w:r>
        <w:t>9</w:t>
      </w:r>
      <w:r>
        <w:fldChar w:fldCharType="end"/>
      </w:r>
    </w:p>
    <w:p w14:paraId="0EA28069" w14:textId="04923D98" w:rsidR="00F24860" w:rsidRPr="00412466" w:rsidRDefault="00F24860">
      <w:pPr>
        <w:pStyle w:val="TOC2"/>
        <w:rPr>
          <w:rFonts w:ascii="Calibri" w:eastAsia="DengXian" w:hAnsi="Calibri"/>
          <w:sz w:val="22"/>
          <w:szCs w:val="22"/>
          <w:lang w:val="en-US" w:eastAsia="zh-CN"/>
        </w:rPr>
      </w:pPr>
      <w:r>
        <w:t>4.6</w:t>
      </w:r>
      <w:r w:rsidRPr="00412466">
        <w:rPr>
          <w:rFonts w:ascii="Calibri" w:eastAsia="DengXian" w:hAnsi="Calibri"/>
          <w:sz w:val="22"/>
          <w:szCs w:val="22"/>
          <w:lang w:val="en-US" w:eastAsia="zh-CN"/>
        </w:rPr>
        <w:tab/>
      </w:r>
      <w:r>
        <w:t>Procedures for reporting by AS to Data Collection AF</w:t>
      </w:r>
      <w:r>
        <w:tab/>
      </w:r>
      <w:r>
        <w:fldChar w:fldCharType="begin"/>
      </w:r>
      <w:r>
        <w:instrText xml:space="preserve"> PAGEREF _Toc76548419 \h </w:instrText>
      </w:r>
      <w:r>
        <w:fldChar w:fldCharType="separate"/>
      </w:r>
      <w:r>
        <w:t>9</w:t>
      </w:r>
      <w:r>
        <w:fldChar w:fldCharType="end"/>
      </w:r>
    </w:p>
    <w:p w14:paraId="0B24EA61" w14:textId="36197EEF" w:rsidR="00F24860" w:rsidRPr="00412466" w:rsidRDefault="00F24860">
      <w:pPr>
        <w:pStyle w:val="TOC1"/>
        <w:rPr>
          <w:rFonts w:ascii="Calibri" w:eastAsia="DengXian" w:hAnsi="Calibri"/>
          <w:szCs w:val="22"/>
          <w:lang w:val="en-US" w:eastAsia="zh-CN"/>
        </w:rPr>
      </w:pPr>
      <w:r>
        <w:t>5</w:t>
      </w:r>
      <w:r w:rsidRPr="00412466">
        <w:rPr>
          <w:rFonts w:ascii="Calibri" w:eastAsia="DengXian" w:hAnsi="Calibri"/>
          <w:szCs w:val="22"/>
          <w:lang w:val="en-US" w:eastAsia="zh-CN"/>
        </w:rPr>
        <w:tab/>
      </w:r>
      <w:r>
        <w:t>UE-to-Network procedures</w:t>
      </w:r>
      <w:r>
        <w:tab/>
      </w:r>
      <w:r>
        <w:fldChar w:fldCharType="begin"/>
      </w:r>
      <w:r>
        <w:instrText xml:space="preserve"> PAGEREF _Toc76548420 \h </w:instrText>
      </w:r>
      <w:r>
        <w:fldChar w:fldCharType="separate"/>
      </w:r>
      <w:r>
        <w:t>9</w:t>
      </w:r>
      <w:r>
        <w:fldChar w:fldCharType="end"/>
      </w:r>
    </w:p>
    <w:p w14:paraId="2240417D" w14:textId="2EF8754B" w:rsidR="00F24860" w:rsidRPr="00412466" w:rsidRDefault="00F24860">
      <w:pPr>
        <w:pStyle w:val="TOC2"/>
        <w:rPr>
          <w:rFonts w:ascii="Calibri" w:eastAsia="DengXian" w:hAnsi="Calibri"/>
          <w:sz w:val="22"/>
          <w:szCs w:val="22"/>
          <w:lang w:val="en-US" w:eastAsia="zh-CN"/>
        </w:rPr>
      </w:pPr>
      <w:r>
        <w:t>5.1</w:t>
      </w:r>
      <w:r w:rsidRPr="00412466">
        <w:rPr>
          <w:rFonts w:ascii="Calibri" w:eastAsia="DengXian" w:hAnsi="Calibri"/>
          <w:sz w:val="22"/>
          <w:szCs w:val="22"/>
          <w:lang w:val="en-US" w:eastAsia="zh-CN"/>
        </w:rPr>
        <w:tab/>
      </w:r>
      <w:r>
        <w:t>Data collection and reporting configuration</w:t>
      </w:r>
      <w:r>
        <w:tab/>
      </w:r>
      <w:r>
        <w:fldChar w:fldCharType="begin"/>
      </w:r>
      <w:r>
        <w:instrText xml:space="preserve"> PAGEREF _Toc76548421 \h </w:instrText>
      </w:r>
      <w:r>
        <w:fldChar w:fldCharType="separate"/>
      </w:r>
      <w:r>
        <w:t>9</w:t>
      </w:r>
      <w:r>
        <w:fldChar w:fldCharType="end"/>
      </w:r>
    </w:p>
    <w:p w14:paraId="161D1F5F" w14:textId="38A8F7A6" w:rsidR="00F24860" w:rsidRPr="00412466" w:rsidRDefault="00F24860">
      <w:pPr>
        <w:pStyle w:val="TOC2"/>
        <w:rPr>
          <w:rFonts w:ascii="Calibri" w:eastAsia="DengXian" w:hAnsi="Calibri"/>
          <w:sz w:val="22"/>
          <w:szCs w:val="22"/>
          <w:lang w:val="en-US" w:eastAsia="zh-CN"/>
        </w:rPr>
      </w:pPr>
      <w:r>
        <w:t>5.2</w:t>
      </w:r>
      <w:r w:rsidRPr="00412466">
        <w:rPr>
          <w:rFonts w:ascii="Calibri" w:eastAsia="DengXian" w:hAnsi="Calibri"/>
          <w:sz w:val="22"/>
          <w:szCs w:val="22"/>
          <w:lang w:val="en-US" w:eastAsia="zh-CN"/>
        </w:rPr>
        <w:tab/>
      </w:r>
      <w:r>
        <w:t>Pass-through delivery of UE data to Data Collection AF</w:t>
      </w:r>
      <w:r>
        <w:tab/>
      </w:r>
      <w:r>
        <w:fldChar w:fldCharType="begin"/>
      </w:r>
      <w:r>
        <w:instrText xml:space="preserve"> PAGEREF _Toc76548422 \h </w:instrText>
      </w:r>
      <w:r>
        <w:fldChar w:fldCharType="separate"/>
      </w:r>
      <w:r>
        <w:t>9</w:t>
      </w:r>
      <w:r>
        <w:fldChar w:fldCharType="end"/>
      </w:r>
    </w:p>
    <w:p w14:paraId="76493382" w14:textId="1C1C8C5E" w:rsidR="00F24860" w:rsidRPr="00412466" w:rsidRDefault="00F24860">
      <w:pPr>
        <w:pStyle w:val="TOC1"/>
        <w:rPr>
          <w:rFonts w:ascii="Calibri" w:eastAsia="DengXian" w:hAnsi="Calibri"/>
          <w:szCs w:val="22"/>
          <w:lang w:val="en-US" w:eastAsia="zh-CN"/>
        </w:rPr>
      </w:pPr>
      <w:r>
        <w:t>6</w:t>
      </w:r>
      <w:r w:rsidRPr="00412466">
        <w:rPr>
          <w:rFonts w:ascii="Calibri" w:eastAsia="DengXian" w:hAnsi="Calibri"/>
          <w:szCs w:val="22"/>
          <w:lang w:val="en-US" w:eastAsia="zh-CN"/>
        </w:rPr>
        <w:tab/>
      </w:r>
      <w:r>
        <w:t>UE-internal procedures</w:t>
      </w:r>
      <w:r>
        <w:tab/>
      </w:r>
      <w:r>
        <w:fldChar w:fldCharType="begin"/>
      </w:r>
      <w:r>
        <w:instrText xml:space="preserve"> PAGEREF _Toc76548423 \h </w:instrText>
      </w:r>
      <w:r>
        <w:fldChar w:fldCharType="separate"/>
      </w:r>
      <w:r>
        <w:t>9</w:t>
      </w:r>
      <w:r>
        <w:fldChar w:fldCharType="end"/>
      </w:r>
    </w:p>
    <w:p w14:paraId="714A04AD" w14:textId="2C7E40BB" w:rsidR="00F24860" w:rsidRPr="00412466" w:rsidRDefault="00F24860">
      <w:pPr>
        <w:pStyle w:val="TOC1"/>
        <w:rPr>
          <w:rFonts w:ascii="Calibri" w:eastAsia="DengXian" w:hAnsi="Calibri"/>
          <w:szCs w:val="22"/>
          <w:lang w:val="en-US" w:eastAsia="zh-CN"/>
        </w:rPr>
      </w:pPr>
      <w:r>
        <w:t>7</w:t>
      </w:r>
      <w:r w:rsidRPr="00412466">
        <w:rPr>
          <w:rFonts w:ascii="Calibri" w:eastAsia="DengXian" w:hAnsi="Calibri"/>
          <w:szCs w:val="22"/>
          <w:lang w:val="en-US" w:eastAsia="zh-CN"/>
        </w:rPr>
        <w:tab/>
      </w:r>
      <w:r>
        <w:t>Security and access control</w:t>
      </w:r>
      <w:r>
        <w:tab/>
      </w:r>
      <w:r>
        <w:fldChar w:fldCharType="begin"/>
      </w:r>
      <w:r>
        <w:instrText xml:space="preserve"> PAGEREF _Toc76548424 \h </w:instrText>
      </w:r>
      <w:r>
        <w:fldChar w:fldCharType="separate"/>
      </w:r>
      <w:r>
        <w:t>10</w:t>
      </w:r>
      <w:r>
        <w:fldChar w:fldCharType="end"/>
      </w:r>
    </w:p>
    <w:p w14:paraId="3FA243D4" w14:textId="678AE661" w:rsidR="00F24860" w:rsidRPr="00412466" w:rsidRDefault="00F24860">
      <w:pPr>
        <w:pStyle w:val="TOC8"/>
        <w:rPr>
          <w:rFonts w:ascii="Calibri" w:eastAsia="DengXian" w:hAnsi="Calibri"/>
          <w:b w:val="0"/>
          <w:szCs w:val="22"/>
          <w:lang w:val="en-US" w:eastAsia="zh-CN"/>
        </w:rPr>
      </w:pPr>
      <w:r>
        <w:t>Annex &lt;A&gt; (normative): OpenAPI representation of REST APIs for data collection and reporting</w:t>
      </w:r>
      <w:r>
        <w:tab/>
      </w:r>
      <w:r>
        <w:fldChar w:fldCharType="begin"/>
      </w:r>
      <w:r>
        <w:instrText xml:space="preserve"> PAGEREF _Toc76548425 \h </w:instrText>
      </w:r>
      <w:r>
        <w:fldChar w:fldCharType="separate"/>
      </w:r>
      <w:r>
        <w:t>11</w:t>
      </w:r>
      <w:r>
        <w:fldChar w:fldCharType="end"/>
      </w:r>
    </w:p>
    <w:p w14:paraId="4F10F3E8" w14:textId="2DCFC816" w:rsidR="00F24860" w:rsidRPr="00412466" w:rsidRDefault="00F24860">
      <w:pPr>
        <w:pStyle w:val="TOC1"/>
        <w:rPr>
          <w:rFonts w:ascii="Calibri" w:eastAsia="DengXian" w:hAnsi="Calibri"/>
          <w:szCs w:val="22"/>
          <w:lang w:val="en-US" w:eastAsia="zh-CN"/>
        </w:rPr>
      </w:pPr>
      <w:r>
        <w:t>A.1</w:t>
      </w:r>
      <w:r w:rsidRPr="00412466">
        <w:rPr>
          <w:rFonts w:ascii="Calibri" w:eastAsia="DengXian" w:hAnsi="Calibri"/>
          <w:szCs w:val="22"/>
          <w:lang w:val="en-US" w:eastAsia="zh-CN"/>
        </w:rPr>
        <w:tab/>
      </w:r>
      <w:r>
        <w:t>General</w:t>
      </w:r>
      <w:r>
        <w:tab/>
      </w:r>
      <w:r>
        <w:fldChar w:fldCharType="begin"/>
      </w:r>
      <w:r>
        <w:instrText xml:space="preserve"> PAGEREF _Toc76548426 \h </w:instrText>
      </w:r>
      <w:r>
        <w:fldChar w:fldCharType="separate"/>
      </w:r>
      <w:r>
        <w:t>11</w:t>
      </w:r>
      <w:r>
        <w:fldChar w:fldCharType="end"/>
      </w:r>
    </w:p>
    <w:p w14:paraId="5869E797" w14:textId="21B20F72" w:rsidR="00F24860" w:rsidRPr="00412466" w:rsidRDefault="00F24860">
      <w:pPr>
        <w:pStyle w:val="TOC8"/>
        <w:rPr>
          <w:rFonts w:ascii="Calibri" w:eastAsia="DengXian" w:hAnsi="Calibri"/>
          <w:b w:val="0"/>
          <w:szCs w:val="22"/>
          <w:lang w:val="en-US" w:eastAsia="zh-CN"/>
        </w:rPr>
      </w:pPr>
      <w:r>
        <w:t>Annex &lt;B&gt; (informative): &lt;Informative annex for a Technical Specification&gt;</w:t>
      </w:r>
      <w:r>
        <w:tab/>
      </w:r>
      <w:r>
        <w:fldChar w:fldCharType="begin"/>
      </w:r>
      <w:r>
        <w:instrText xml:space="preserve"> PAGEREF _Toc76548427 \h </w:instrText>
      </w:r>
      <w:r>
        <w:fldChar w:fldCharType="separate"/>
      </w:r>
      <w:r>
        <w:t>12</w:t>
      </w:r>
      <w:r>
        <w:fldChar w:fldCharType="end"/>
      </w:r>
    </w:p>
    <w:p w14:paraId="71E683AA" w14:textId="5FA9248F" w:rsidR="00F24860" w:rsidRPr="00412466" w:rsidRDefault="00F24860">
      <w:pPr>
        <w:pStyle w:val="TOC1"/>
        <w:rPr>
          <w:rFonts w:ascii="Calibri" w:eastAsia="DengXian" w:hAnsi="Calibri"/>
          <w:szCs w:val="22"/>
          <w:lang w:val="en-US" w:eastAsia="zh-CN"/>
        </w:rPr>
      </w:pPr>
      <w:r>
        <w:t>B.1</w:t>
      </w:r>
      <w:r w:rsidRPr="00412466">
        <w:rPr>
          <w:rFonts w:ascii="Calibri" w:eastAsia="DengXian" w:hAnsi="Calibri"/>
          <w:szCs w:val="22"/>
          <w:lang w:val="en-US" w:eastAsia="zh-CN"/>
        </w:rPr>
        <w:tab/>
      </w:r>
      <w:r>
        <w:t>Heading levels in an annex</w:t>
      </w:r>
      <w:r>
        <w:tab/>
      </w:r>
      <w:r>
        <w:fldChar w:fldCharType="begin"/>
      </w:r>
      <w:r>
        <w:instrText xml:space="preserve"> PAGEREF _Toc76548428 \h </w:instrText>
      </w:r>
      <w:r>
        <w:fldChar w:fldCharType="separate"/>
      </w:r>
      <w:r>
        <w:t>12</w:t>
      </w:r>
      <w:r>
        <w:fldChar w:fldCharType="end"/>
      </w:r>
    </w:p>
    <w:p w14:paraId="3355FB9B" w14:textId="61349FF3" w:rsidR="00F24860" w:rsidRPr="00412466" w:rsidRDefault="00F24860">
      <w:pPr>
        <w:pStyle w:val="TOC9"/>
        <w:rPr>
          <w:rFonts w:ascii="Calibri" w:eastAsia="DengXian" w:hAnsi="Calibri"/>
          <w:b w:val="0"/>
          <w:szCs w:val="22"/>
          <w:lang w:val="en-US" w:eastAsia="zh-CN"/>
        </w:rPr>
      </w:pPr>
      <w:r>
        <w:t>Annex &lt;X&gt; (informative): Change history</w:t>
      </w:r>
      <w:r>
        <w:tab/>
      </w:r>
      <w:r>
        <w:fldChar w:fldCharType="begin"/>
      </w:r>
      <w:r>
        <w:instrText xml:space="preserve"> PAGEREF _Toc76548429 \h </w:instrText>
      </w:r>
      <w:r>
        <w:fldChar w:fldCharType="separate"/>
      </w:r>
      <w:r>
        <w:t>13</w:t>
      </w:r>
      <w:r>
        <w:fldChar w:fldCharType="end"/>
      </w:r>
    </w:p>
    <w:p w14:paraId="0B9E3498" w14:textId="04A2440D" w:rsidR="00080512" w:rsidRPr="004D3578" w:rsidRDefault="004D3578" w:rsidP="00B123F6">
      <w:r w:rsidRPr="004D3578">
        <w:rPr>
          <w:noProof/>
          <w:sz w:val="22"/>
        </w:rPr>
        <w:fldChar w:fldCharType="end"/>
      </w:r>
    </w:p>
    <w:p w14:paraId="747690AD" w14:textId="32BFFA7D" w:rsidR="0074026F" w:rsidRPr="005F7F5D" w:rsidRDefault="006333BF" w:rsidP="005F7F5D">
      <w:pPr>
        <w:pStyle w:val="Guidance"/>
        <w:spacing w:after="0"/>
        <w:rPr>
          <w:i w:val="0"/>
          <w:iCs/>
        </w:rPr>
      </w:pPr>
      <w:r>
        <w:br w:type="page"/>
      </w:r>
    </w:p>
    <w:p w14:paraId="03993004" w14:textId="2732189E" w:rsidR="00080512" w:rsidRDefault="00080512" w:rsidP="005F7F5D">
      <w:pPr>
        <w:pStyle w:val="Heading1"/>
        <w:spacing w:before="0"/>
        <w:ind w:left="1138" w:hanging="1138"/>
      </w:pPr>
      <w:bookmarkStart w:id="14" w:name="foreword"/>
      <w:bookmarkStart w:id="15" w:name="_Toc76548405"/>
      <w:bookmarkEnd w:id="14"/>
      <w:r w:rsidRPr="004D3578">
        <w:t>Foreword</w:t>
      </w:r>
      <w:bookmarkEnd w:id="15"/>
    </w:p>
    <w:p w14:paraId="2511FBFA" w14:textId="71505932" w:rsidR="00080512" w:rsidRPr="004D3578" w:rsidRDefault="00080512" w:rsidP="005F7F5D">
      <w:r w:rsidRPr="004D3578">
        <w:t xml:space="preserve">This Technical </w:t>
      </w:r>
      <w:bookmarkStart w:id="16" w:name="spectype3"/>
      <w:r w:rsidRPr="006333BF">
        <w:t>Specification</w:t>
      </w:r>
      <w:r w:rsidR="00602AEA" w:rsidRPr="00602AEA">
        <w:rPr>
          <w:highlight w:val="yellow"/>
        </w:rPr>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7A5459F7" w14:textId="77777777" w:rsidR="00774DA4" w:rsidRPr="004D3578" w:rsidRDefault="005F7F5D" w:rsidP="005F7F5D">
      <w:pPr>
        <w:spacing w:after="0"/>
      </w:pPr>
      <w:r>
        <w:br w:type="page"/>
      </w:r>
    </w:p>
    <w:p w14:paraId="5E93E31E" w14:textId="77777777" w:rsidR="00080512" w:rsidRPr="004D3578" w:rsidRDefault="00080512" w:rsidP="005F7F5D">
      <w:pPr>
        <w:pStyle w:val="Heading1"/>
        <w:spacing w:before="0"/>
      </w:pPr>
      <w:bookmarkStart w:id="17" w:name="introduction"/>
      <w:bookmarkStart w:id="18" w:name="_Toc76548406"/>
      <w:bookmarkEnd w:id="17"/>
      <w:r w:rsidRPr="004D3578">
        <w:t>Introduction</w:t>
      </w:r>
      <w:bookmarkEnd w:id="18"/>
    </w:p>
    <w:p w14:paraId="6A7CE5D7" w14:textId="77777777" w:rsidR="00080512" w:rsidRPr="004D3578" w:rsidRDefault="00080512" w:rsidP="005F7F5D">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7F6FD8">
      <w:pPr>
        <w:pStyle w:val="Heading1"/>
        <w:spacing w:before="0"/>
      </w:pPr>
      <w:r w:rsidRPr="004D3578">
        <w:br w:type="page"/>
      </w:r>
      <w:bookmarkStart w:id="19" w:name="scope"/>
      <w:bookmarkStart w:id="20" w:name="_Toc76548407"/>
      <w:bookmarkEnd w:id="19"/>
      <w:r w:rsidRPr="004D3578">
        <w:lastRenderedPageBreak/>
        <w:t>1</w:t>
      </w:r>
      <w:r w:rsidRPr="004D3578">
        <w:tab/>
        <w:t>Scope</w:t>
      </w:r>
      <w:bookmarkEnd w:id="20"/>
    </w:p>
    <w:p w14:paraId="4EA05E1B" w14:textId="0ECF316F" w:rsidR="00080512" w:rsidRDefault="00080512" w:rsidP="007F6FD8">
      <w:r w:rsidRPr="004D3578">
        <w:t xml:space="preserve">The present document </w:t>
      </w:r>
      <w:r w:rsidR="00C6238C">
        <w:t xml:space="preserve">specifies the set of </w:t>
      </w:r>
      <w:r w:rsidR="00897F94">
        <w:t>procedures</w:t>
      </w:r>
      <w:r w:rsidR="00C6238C">
        <w:t xml:space="preserve">, APIs and data </w:t>
      </w:r>
      <w:r w:rsidR="001A1363">
        <w:t xml:space="preserve">models </w:t>
      </w:r>
      <w:r w:rsidR="00C15EEE">
        <w:t xml:space="preserve">pertaining to </w:t>
      </w:r>
      <w:r w:rsidR="005510EE">
        <w:t xml:space="preserve">the collection and reporting of UE-related data </w:t>
      </w:r>
      <w:r w:rsidR="00DD362C">
        <w:t>(</w:t>
      </w:r>
      <w:r w:rsidR="00876B77">
        <w:t xml:space="preserve">synonymously </w:t>
      </w:r>
      <w:r w:rsidR="00DD362C">
        <w:t xml:space="preserve">“UE data”) </w:t>
      </w:r>
      <w:r w:rsidR="00137875">
        <w:t xml:space="preserve">by the </w:t>
      </w:r>
      <w:r w:rsidR="00673712">
        <w:t xml:space="preserve">Application Function (AF) </w:t>
      </w:r>
      <w:r w:rsidR="00166AE8">
        <w:t>in the 5G System</w:t>
      </w:r>
      <w:r w:rsidR="00CB6982">
        <w:t xml:space="preserve"> for subsequent event exposure services offered to</w:t>
      </w:r>
      <w:r w:rsidR="006B5208">
        <w:t xml:space="preserve"> network consumer entities</w:t>
      </w:r>
      <w:r w:rsidR="00460359">
        <w:t xml:space="preserve">, </w:t>
      </w:r>
      <w:r w:rsidR="00166AE8">
        <w:t xml:space="preserve">as defined in </w:t>
      </w:r>
      <w:r w:rsidR="00460359">
        <w:t>TS 23.</w:t>
      </w:r>
      <w:r w:rsidR="00263F47">
        <w:t xml:space="preserve">531 [2], </w:t>
      </w:r>
      <w:r w:rsidR="00846FF8">
        <w:t>TS 23.501 [</w:t>
      </w:r>
      <w:r w:rsidR="00263F47">
        <w:t>3</w:t>
      </w:r>
      <w:r w:rsidR="00846FF8">
        <w:t>], TS 23.502 [</w:t>
      </w:r>
      <w:r w:rsidR="00263F47">
        <w:t>4</w:t>
      </w:r>
      <w:r w:rsidR="00846FF8">
        <w:t>], TS 23.288 [</w:t>
      </w:r>
      <w:r w:rsidR="00263F47">
        <w:t>5</w:t>
      </w:r>
      <w:r w:rsidR="00846FF8">
        <w:t>] and TS 29.517 [</w:t>
      </w:r>
      <w:r w:rsidR="00263F47">
        <w:t>6</w:t>
      </w:r>
      <w:r w:rsidR="00846FF8">
        <w:t>].</w:t>
      </w:r>
      <w:r w:rsidR="00263F47">
        <w:t xml:space="preserve"> </w:t>
      </w:r>
    </w:p>
    <w:p w14:paraId="794720D9" w14:textId="77777777" w:rsidR="00080512" w:rsidRPr="004D3578" w:rsidRDefault="00080512">
      <w:pPr>
        <w:pStyle w:val="Heading1"/>
      </w:pPr>
      <w:bookmarkStart w:id="21" w:name="references"/>
      <w:bookmarkStart w:id="22" w:name="_Toc7654840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1E89BB74" w14:textId="26EFCE77" w:rsidR="00321254" w:rsidRDefault="0003410C" w:rsidP="00321254">
      <w:pPr>
        <w:pStyle w:val="EX"/>
      </w:pPr>
      <w:r>
        <w:t>[2]</w:t>
      </w:r>
      <w:r>
        <w:tab/>
        <w:t>3GPP TS 26.53</w:t>
      </w:r>
      <w:r w:rsidR="00AE3269">
        <w:t>1</w:t>
      </w:r>
      <w:r w:rsidR="00321254">
        <w:t xml:space="preserve">: </w:t>
      </w:r>
      <w:r w:rsidR="00321254" w:rsidRPr="004D3578">
        <w:t>"</w:t>
      </w:r>
      <w:r w:rsidR="0026314D" w:rsidRPr="004443DA">
        <w:rPr>
          <w:iCs/>
        </w:rPr>
        <w:t>Data Collection and Reporting; General Description and Architecture</w:t>
      </w:r>
      <w:r w:rsidR="00321254" w:rsidRPr="004D3578">
        <w:t>".</w:t>
      </w:r>
    </w:p>
    <w:p w14:paraId="41310992" w14:textId="4A093B23" w:rsidR="00AE3269" w:rsidRDefault="00AE3269" w:rsidP="00321254">
      <w:pPr>
        <w:pStyle w:val="EX"/>
      </w:pPr>
      <w:r>
        <w:t>[3]</w:t>
      </w:r>
      <w:r w:rsidR="00074C27">
        <w:tab/>
        <w:t>3GPP TS 23.501: "</w:t>
      </w:r>
      <w:r w:rsidR="00074C27" w:rsidRPr="00103371">
        <w:t>System architecture for the 5G System (5GS)</w:t>
      </w:r>
      <w:r w:rsidR="00074C27">
        <w:t>".</w:t>
      </w:r>
    </w:p>
    <w:p w14:paraId="683107D9" w14:textId="34357826" w:rsidR="0003410C" w:rsidRDefault="00074C27" w:rsidP="00EC4A25">
      <w:pPr>
        <w:pStyle w:val="EX"/>
      </w:pPr>
      <w:r>
        <w:t>[4]</w:t>
      </w:r>
      <w:r>
        <w:tab/>
      </w:r>
      <w:r w:rsidR="00785DC4">
        <w:t>3GPP TS 23.502: "</w:t>
      </w:r>
      <w:r w:rsidR="00785DC4" w:rsidRPr="00103371">
        <w:t>Procedures for the 5G System (5GS)</w:t>
      </w:r>
      <w:r w:rsidR="00785DC4">
        <w:t>".</w:t>
      </w:r>
    </w:p>
    <w:p w14:paraId="29094E8A" w14:textId="2829F322" w:rsidR="00EC4A25" w:rsidRDefault="00785DC4" w:rsidP="00B862B7">
      <w:pPr>
        <w:pStyle w:val="EX"/>
      </w:pPr>
      <w:r>
        <w:t>[5]</w:t>
      </w:r>
      <w:r>
        <w:tab/>
      </w:r>
      <w:r w:rsidR="00B862B7">
        <w:t>3GPP TS 23.288: "</w:t>
      </w:r>
      <w:r w:rsidR="00B862B7" w:rsidRPr="00B65341">
        <w:t>Architecture enhancements for 5G System (5GS) to support network data analytics services</w:t>
      </w:r>
      <w:r w:rsidR="00B862B7">
        <w:t>".</w:t>
      </w:r>
    </w:p>
    <w:p w14:paraId="44353424" w14:textId="78A9CF94" w:rsidR="00E325BF" w:rsidRDefault="00B862B7" w:rsidP="00332C65">
      <w:pPr>
        <w:pStyle w:val="EX"/>
      </w:pPr>
      <w:r>
        <w:t>[6]</w:t>
      </w:r>
      <w:r>
        <w:tab/>
      </w:r>
      <w:r w:rsidR="00D441FA">
        <w:t>3GPP TS 29.517: "5G System; Application Function Event Exposure Service; Stage 3".</w:t>
      </w:r>
    </w:p>
    <w:p w14:paraId="338A6B67" w14:textId="12F7F80A" w:rsidR="00396585" w:rsidRPr="004D3578" w:rsidRDefault="00396585" w:rsidP="00E325BF">
      <w:pPr>
        <w:pStyle w:val="EX"/>
      </w:pPr>
      <w:r>
        <w:t>[</w:t>
      </w:r>
      <w:r w:rsidR="00356E5B">
        <w:t>7</w:t>
      </w:r>
      <w:r>
        <w:t>]</w:t>
      </w:r>
      <w:r>
        <w:tab/>
      </w:r>
      <w:r w:rsidRPr="00586B6B">
        <w:t xml:space="preserve">OpenAPI: "OpenAPI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3" w:name="definitions"/>
      <w:bookmarkStart w:id="24" w:name="_Toc7654840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76548410"/>
      <w:r w:rsidRPr="004D3578">
        <w:t>3.1</w:t>
      </w:r>
      <w:r w:rsidRPr="004D3578">
        <w:tab/>
      </w:r>
      <w:r w:rsidR="002B6339">
        <w:t>Terms</w:t>
      </w:r>
      <w:bookmarkEnd w:id="25"/>
    </w:p>
    <w:p w14:paraId="52F085A8" w14:textId="7D68C81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23.531 [2], TS 23.501 [3], TS 23.502 [4], TS 23.288 [5] and TS 29.517 [6]</w:t>
      </w:r>
      <w:r w:rsidR="00E24FB2">
        <w:t xml:space="preserve"> 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7654841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4D3578" w:rsidRDefault="00623B8D" w:rsidP="00623B8D">
      <w:pPr>
        <w:pStyle w:val="EW"/>
        <w:ind w:left="0" w:firstLine="0"/>
      </w:pPr>
      <w:r>
        <w:t>Void.</w:t>
      </w:r>
    </w:p>
    <w:p w14:paraId="5E81C5C1" w14:textId="77777777" w:rsidR="00080512" w:rsidRPr="004D3578" w:rsidRDefault="00080512">
      <w:pPr>
        <w:pStyle w:val="Heading2"/>
      </w:pPr>
      <w:bookmarkStart w:id="27" w:name="_Toc76548412"/>
      <w:r w:rsidRPr="004D3578">
        <w:lastRenderedPageBreak/>
        <w:t>3.3</w:t>
      </w:r>
      <w:r w:rsidRPr="004D3578">
        <w:tab/>
        <w:t>Abbreviations</w:t>
      </w:r>
      <w:bookmarkEnd w:id="27"/>
    </w:p>
    <w:p w14:paraId="338C6B7C" w14:textId="766CA18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23B8D">
        <w:t>, TS 23.531 [2], TS 23.501 [3], TS 23.502 [4], TS 23.288 [5] and TS 29.517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Default="00F4029E" w:rsidP="00F4029E">
      <w:pPr>
        <w:pStyle w:val="EW"/>
        <w:spacing w:after="180"/>
        <w:ind w:left="1699" w:hanging="1411"/>
      </w:pPr>
      <w:r>
        <w:t>AF</w:t>
      </w:r>
      <w:r w:rsidR="00080512" w:rsidRPr="004D3578">
        <w:tab/>
      </w:r>
      <w:r>
        <w:t>Application Function</w:t>
      </w:r>
    </w:p>
    <w:p w14:paraId="15184314" w14:textId="5D39E06B" w:rsidR="008726E9" w:rsidRDefault="008726E9" w:rsidP="00F4029E">
      <w:pPr>
        <w:pStyle w:val="EW"/>
        <w:spacing w:after="180"/>
        <w:ind w:left="1699" w:hanging="1411"/>
      </w:pPr>
      <w:r>
        <w:t>AS</w:t>
      </w:r>
      <w:r>
        <w:tab/>
        <w:t>Application Serv</w:t>
      </w:r>
      <w:r w:rsidR="00463EFA">
        <w:t>er</w:t>
      </w:r>
    </w:p>
    <w:p w14:paraId="2B9358C2" w14:textId="056D239C" w:rsidR="00DA5F96" w:rsidRDefault="005838F0" w:rsidP="00F4029E">
      <w:pPr>
        <w:pStyle w:val="EW"/>
        <w:spacing w:after="180"/>
        <w:ind w:left="1699" w:hanging="1411"/>
      </w:pPr>
      <w:r>
        <w:t>ASP</w:t>
      </w:r>
      <w:r>
        <w:tab/>
        <w:t>Application Service Provider</w:t>
      </w:r>
    </w:p>
    <w:p w14:paraId="46FBD1F7" w14:textId="776BC22C" w:rsidR="00877816" w:rsidRDefault="00877816" w:rsidP="00F4029E">
      <w:pPr>
        <w:pStyle w:val="EW"/>
        <w:spacing w:after="180"/>
        <w:ind w:left="1699" w:hanging="1411"/>
      </w:pPr>
      <w:r>
        <w:t>DC AF</w:t>
      </w:r>
      <w:r w:rsidR="00BB19B6">
        <w:tab/>
        <w:t>Data Collection AF</w:t>
      </w:r>
    </w:p>
    <w:p w14:paraId="7C0501A0" w14:textId="701783E5" w:rsidR="00C12B23" w:rsidRDefault="00C12B23" w:rsidP="00F4029E">
      <w:pPr>
        <w:pStyle w:val="EW"/>
        <w:spacing w:after="180"/>
        <w:ind w:left="1699" w:hanging="1411"/>
      </w:pPr>
      <w:r>
        <w:t>DC Client</w:t>
      </w:r>
      <w:r>
        <w:tab/>
        <w:t>Data Collection Client</w:t>
      </w:r>
    </w:p>
    <w:p w14:paraId="512BDC7B" w14:textId="1CDAC67E" w:rsidR="003E7F09" w:rsidRDefault="003E7F09" w:rsidP="00F4029E">
      <w:pPr>
        <w:pStyle w:val="EW"/>
        <w:spacing w:after="180"/>
        <w:ind w:left="1699" w:hanging="1411"/>
      </w:pPr>
      <w:r>
        <w:t>NEF</w:t>
      </w:r>
      <w:r w:rsidR="00B663DB">
        <w:tab/>
        <w:t>Network Exposure Function</w:t>
      </w:r>
    </w:p>
    <w:p w14:paraId="0FFD8B58" w14:textId="1FDF54ED" w:rsidR="00C50A78" w:rsidRDefault="00C50A78" w:rsidP="00F4029E">
      <w:pPr>
        <w:pStyle w:val="EW"/>
        <w:spacing w:after="180"/>
        <w:ind w:left="1699" w:hanging="1411"/>
      </w:pPr>
      <w:r>
        <w:t>NRF</w:t>
      </w:r>
      <w:r>
        <w:tab/>
        <w:t>Network Re</w:t>
      </w:r>
      <w:r w:rsidR="00004ADD">
        <w:t>pository</w:t>
      </w:r>
      <w:r>
        <w:t xml:space="preserve"> Function</w:t>
      </w:r>
    </w:p>
    <w:p w14:paraId="1EA365ED" w14:textId="7B8CC745" w:rsidR="00080512" w:rsidRPr="004D3578" w:rsidRDefault="003178A4" w:rsidP="003178A4">
      <w:pPr>
        <w:pStyle w:val="EW"/>
        <w:spacing w:after="180"/>
        <w:ind w:left="1699" w:hanging="1411"/>
      </w:pPr>
      <w:r>
        <w:t>NWDAF</w:t>
      </w:r>
      <w:r w:rsidRPr="004D3578">
        <w:tab/>
      </w:r>
      <w:r>
        <w:t>Network Data Analytics Function</w:t>
      </w:r>
    </w:p>
    <w:p w14:paraId="7D89FB01" w14:textId="568E0181" w:rsidR="00080512" w:rsidRPr="004D3578" w:rsidRDefault="00080512">
      <w:pPr>
        <w:pStyle w:val="Heading1"/>
      </w:pPr>
      <w:bookmarkStart w:id="28" w:name="clause4"/>
      <w:bookmarkStart w:id="29" w:name="_Toc76548413"/>
      <w:bookmarkEnd w:id="28"/>
      <w:r w:rsidRPr="004D3578">
        <w:t>4</w:t>
      </w:r>
      <w:r w:rsidRPr="004D3578">
        <w:tab/>
      </w:r>
      <w:r w:rsidR="005D39B6">
        <w:t>Network-side p</w:t>
      </w:r>
      <w:r w:rsidR="000B201A">
        <w:t>rocedures</w:t>
      </w:r>
      <w:bookmarkEnd w:id="29"/>
    </w:p>
    <w:p w14:paraId="74DB1572" w14:textId="610F9D76" w:rsidR="008F28B5" w:rsidRDefault="007205AE" w:rsidP="00795DCA">
      <w:pPr>
        <w:pStyle w:val="Heading2"/>
      </w:pPr>
      <w:r>
        <w:t>4.1</w:t>
      </w:r>
      <w:r w:rsidR="007E7A88">
        <w:tab/>
        <w:t>General</w:t>
      </w:r>
    </w:p>
    <w:p w14:paraId="60C5445D" w14:textId="4529D58B" w:rsidR="00C57271" w:rsidRDefault="00C57271" w:rsidP="00C57271">
      <w:r>
        <w:t xml:space="preserve">This clause </w:t>
      </w:r>
      <w:r w:rsidR="0042028D">
        <w:t>and its sub</w:t>
      </w:r>
      <w:r w:rsidR="00D8197D">
        <w:t>-</w:t>
      </w:r>
      <w:r w:rsidR="0042028D">
        <w:t xml:space="preserve">clauses </w:t>
      </w:r>
      <w:r w:rsidR="00230591">
        <w:t>specif</w:t>
      </w:r>
      <w:r w:rsidR="0042028D">
        <w:t xml:space="preserve">y </w:t>
      </w:r>
      <w:r w:rsidR="00230591">
        <w:t>the</w:t>
      </w:r>
      <w:r>
        <w:t xml:space="preserve"> procedures </w:t>
      </w:r>
      <w:r w:rsidR="00E9437B">
        <w:t xml:space="preserve">between network-side entities </w:t>
      </w:r>
      <w:r w:rsidR="0081116B">
        <w:t>for</w:t>
      </w:r>
      <w:r w:rsidR="00D4194F">
        <w:t xml:space="preserve"> UE data </w:t>
      </w:r>
      <w:r w:rsidR="00835635">
        <w:t>collection and reporting</w:t>
      </w:r>
      <w:r w:rsidR="00B469D8">
        <w:t>,</w:t>
      </w:r>
      <w:r w:rsidR="00835635">
        <w:t xml:space="preserve"> </w:t>
      </w:r>
      <w:r w:rsidR="0081116B">
        <w:t>a</w:t>
      </w:r>
      <w:r w:rsidR="00B469D8">
        <w:t>long</w:t>
      </w:r>
      <w:r w:rsidR="0081116B">
        <w:t xml:space="preserve"> </w:t>
      </w:r>
      <w:r w:rsidR="00B469D8">
        <w:t xml:space="preserve">with </w:t>
      </w:r>
      <w:r w:rsidR="0081116B">
        <w:t>related functionality pertaining to the provisio</w:t>
      </w:r>
      <w:r w:rsidR="00307BF3">
        <w:t xml:space="preserve">ning, </w:t>
      </w:r>
      <w:r w:rsidR="00D4194F">
        <w:t xml:space="preserve">management, </w:t>
      </w:r>
      <w:r w:rsidR="00134275">
        <w:t xml:space="preserve">and </w:t>
      </w:r>
      <w:r w:rsidR="006965B9">
        <w:t xml:space="preserve">delivery </w:t>
      </w:r>
      <w:r w:rsidR="00134275">
        <w:t xml:space="preserve">of </w:t>
      </w:r>
      <w:r w:rsidR="00B469D8">
        <w:t xml:space="preserve">such data </w:t>
      </w:r>
      <w:r w:rsidR="005E5982">
        <w:t xml:space="preserve">between </w:t>
      </w:r>
      <w:r w:rsidR="00CA5586">
        <w:t xml:space="preserve">the Data Collection AF </w:t>
      </w:r>
      <w:r w:rsidR="005E5982">
        <w:t xml:space="preserve">and </w:t>
      </w:r>
      <w:r w:rsidR="00CA5586">
        <w:t>consumer entities</w:t>
      </w:r>
      <w:r w:rsidR="00F524FB">
        <w:t>.</w:t>
      </w:r>
    </w:p>
    <w:p w14:paraId="29728E0D" w14:textId="7993F225" w:rsidR="003834D9" w:rsidRDefault="003834D9" w:rsidP="00795DCA">
      <w:pPr>
        <w:pStyle w:val="EditorsNote"/>
      </w:pPr>
      <w:r>
        <w:t>Editor’s Note</w:t>
      </w:r>
      <w:r w:rsidR="000628FD">
        <w:t xml:space="preserve"> 1</w:t>
      </w:r>
      <w:r>
        <w:t xml:space="preserve">: </w:t>
      </w:r>
      <w:r w:rsidR="008D6EBD">
        <w:t xml:space="preserve">It is </w:t>
      </w:r>
      <w:r w:rsidR="00A91C88">
        <w:t>expected</w:t>
      </w:r>
      <w:r w:rsidR="0096570B">
        <w:t xml:space="preserve"> </w:t>
      </w:r>
      <w:r w:rsidR="00037B61">
        <w:t xml:space="preserve">for each of </w:t>
      </w:r>
      <w:r w:rsidR="00A91C88">
        <w:t xml:space="preserve">the </w:t>
      </w:r>
      <w:r w:rsidR="00037B61">
        <w:t xml:space="preserve">procedures </w:t>
      </w:r>
      <w:r w:rsidR="00C853B9">
        <w:t xml:space="preserve">associated </w:t>
      </w:r>
      <w:r w:rsidR="00753CC0">
        <w:t xml:space="preserve">with the </w:t>
      </w:r>
      <w:r w:rsidR="007A4896">
        <w:t>reference point</w:t>
      </w:r>
      <w:r w:rsidR="00221ACB">
        <w:t xml:space="preserve"> </w:t>
      </w:r>
      <w:r w:rsidR="002C5D4B">
        <w:t>a</w:t>
      </w:r>
      <w:r w:rsidR="00221ACB">
        <w:t>s described</w:t>
      </w:r>
      <w:r w:rsidR="002C5D4B">
        <w:t xml:space="preserve"> </w:t>
      </w:r>
      <w:r w:rsidR="004A7E86">
        <w:t xml:space="preserve">in the clauses </w:t>
      </w:r>
      <w:r w:rsidR="00A91C88">
        <w:t xml:space="preserve">below </w:t>
      </w:r>
      <w:r w:rsidR="00717159">
        <w:t>that the</w:t>
      </w:r>
      <w:r w:rsidR="005A0A64">
        <w:t xml:space="preserve"> </w:t>
      </w:r>
      <w:r w:rsidR="00182ADC">
        <w:t>related</w:t>
      </w:r>
      <w:r w:rsidR="0096570B">
        <w:t xml:space="preserve"> </w:t>
      </w:r>
      <w:r w:rsidR="00037B61">
        <w:t>API</w:t>
      </w:r>
      <w:r w:rsidR="00A315A8">
        <w:t>,</w:t>
      </w:r>
      <w:r w:rsidR="00717159">
        <w:t xml:space="preserve"> including</w:t>
      </w:r>
      <w:r w:rsidR="00221ACB">
        <w:t xml:space="preserve"> </w:t>
      </w:r>
      <w:r w:rsidR="00FE5659">
        <w:t xml:space="preserve">resource structure, </w:t>
      </w:r>
      <w:r w:rsidR="00CE65C7">
        <w:t>data model a</w:t>
      </w:r>
      <w:r w:rsidR="00695C37">
        <w:t xml:space="preserve">nd </w:t>
      </w:r>
      <w:r w:rsidR="00FE5659">
        <w:t>operations</w:t>
      </w:r>
      <w:r w:rsidR="00090BE8">
        <w:t xml:space="preserve"> </w:t>
      </w:r>
      <w:r w:rsidR="00FE5659">
        <w:t xml:space="preserve">will be further </w:t>
      </w:r>
      <w:r w:rsidR="00313FA9">
        <w:t>specified</w:t>
      </w:r>
      <w:r w:rsidR="00CC523B">
        <w:t xml:space="preserve"> </w:t>
      </w:r>
      <w:r w:rsidR="00AE3E7C">
        <w:t>via</w:t>
      </w:r>
      <w:r w:rsidR="00313FA9">
        <w:t xml:space="preserve"> additional sub</w:t>
      </w:r>
      <w:r w:rsidR="00A315A8">
        <w:t>-</w:t>
      </w:r>
      <w:r w:rsidR="00313FA9">
        <w:t>clauses</w:t>
      </w:r>
      <w:r w:rsidR="00A315A8">
        <w:t>.</w:t>
      </w:r>
    </w:p>
    <w:p w14:paraId="76134D36" w14:textId="640AEDD5" w:rsidR="00483790" w:rsidRDefault="000628FD" w:rsidP="00795DCA">
      <w:pPr>
        <w:pStyle w:val="EditorsNote"/>
      </w:pPr>
      <w:r>
        <w:t xml:space="preserve">Editor’s Notes 2: </w:t>
      </w:r>
      <w:r w:rsidR="00F93D21">
        <w:t>The</w:t>
      </w:r>
      <w:r>
        <w:t xml:space="preserve"> DC AF </w:t>
      </w:r>
      <w:r w:rsidR="00F93D21">
        <w:t>could be</w:t>
      </w:r>
      <w:r>
        <w:t xml:space="preserve"> </w:t>
      </w:r>
      <w:r w:rsidR="00D7130C">
        <w:t xml:space="preserve">either </w:t>
      </w:r>
      <w:r>
        <w:t>a trusted entity (i.e., resides in</w:t>
      </w:r>
      <w:r w:rsidR="00F93D21">
        <w:t xml:space="preserve"> </w:t>
      </w:r>
      <w:r>
        <w:t>trusted domain)</w:t>
      </w:r>
      <w:r w:rsidR="00F93D21">
        <w:t xml:space="preserve"> or untrusted entity (</w:t>
      </w:r>
      <w:r w:rsidR="00D7130C">
        <w:t xml:space="preserve">i.e., </w:t>
      </w:r>
      <w:r w:rsidR="00F93D21">
        <w:t>resides in untrusted domain)</w:t>
      </w:r>
      <w:r>
        <w:t xml:space="preserve">. </w:t>
      </w:r>
      <w:r w:rsidR="00D7130C">
        <w:t>The External AF is</w:t>
      </w:r>
      <w:r w:rsidR="00292D20">
        <w:t xml:space="preserve"> strictly</w:t>
      </w:r>
      <w:r w:rsidR="00D7130C">
        <w:t xml:space="preserve"> considered to be an untrusted entity. The AF, AS, NWDAF and NRF are considered to be trusted entities. </w:t>
      </w:r>
      <w:r w:rsidR="00F93D21">
        <w:t xml:space="preserve">Interaction between </w:t>
      </w:r>
      <w:r w:rsidR="00D7130C">
        <w:t>a</w:t>
      </w:r>
      <w:r w:rsidR="00F93D21">
        <w:t xml:space="preserve"> trusted </w:t>
      </w:r>
      <w:r w:rsidR="00D7130C">
        <w:t>DC AF and a trusted entity</w:t>
      </w:r>
      <w:r w:rsidR="00F93D21">
        <w:t xml:space="preserve"> take</w:t>
      </w:r>
      <w:r w:rsidR="00F23D87">
        <w:t>s</w:t>
      </w:r>
      <w:r w:rsidR="00F93D21">
        <w:t xml:space="preserve"> place directly over the relevant reference point (i.e., R3, R4 </w:t>
      </w:r>
      <w:r w:rsidR="00D7130C">
        <w:t>or</w:t>
      </w:r>
      <w:r w:rsidR="00F93D21">
        <w:t xml:space="preserve"> R5). I</w:t>
      </w:r>
      <w:r>
        <w:t xml:space="preserve">nteraction between </w:t>
      </w:r>
      <w:r w:rsidR="00F93D21">
        <w:t>an</w:t>
      </w:r>
      <w:r>
        <w:t xml:space="preserve"> untrusted DC AF and a trusted NF </w:t>
      </w:r>
      <w:r w:rsidR="00D7130C">
        <w:t>is</w:t>
      </w:r>
      <w:r>
        <w:t xml:space="preserve"> mediated by the NEF via the appropriate NEF services and APIs</w:t>
      </w:r>
      <w:r w:rsidR="00F93D21">
        <w:t>.</w:t>
      </w:r>
    </w:p>
    <w:p w14:paraId="7F5C6F75" w14:textId="612A0B51" w:rsidR="000628FD" w:rsidRDefault="00483790" w:rsidP="00332C65">
      <w:pPr>
        <w:pStyle w:val="NO"/>
      </w:pPr>
      <w:r>
        <w:t>NOTE:</w:t>
      </w:r>
      <w:r>
        <w:tab/>
      </w:r>
      <w:r w:rsidR="00D7130C">
        <w:t xml:space="preserve">Interaction between an untrusted DC AF and </w:t>
      </w:r>
      <w:r>
        <w:t>an External AF is outside the scope of this specification.</w:t>
      </w:r>
    </w:p>
    <w:p w14:paraId="463A65B9" w14:textId="66DF5532" w:rsidR="00703B24" w:rsidRDefault="007E7A88" w:rsidP="00703B24">
      <w:pPr>
        <w:pStyle w:val="Heading2"/>
      </w:pPr>
      <w:bookmarkStart w:id="30" w:name="_Toc76548414"/>
      <w:r>
        <w:t>4.2</w:t>
      </w:r>
      <w:r w:rsidR="00703B24">
        <w:tab/>
      </w:r>
      <w:r w:rsidR="00E45A8F">
        <w:t>Data</w:t>
      </w:r>
      <w:r w:rsidR="00703B24">
        <w:t xml:space="preserve"> collection </w:t>
      </w:r>
      <w:r w:rsidR="008445BE">
        <w:t>and reporting provisioning</w:t>
      </w:r>
      <w:r w:rsidR="004F6762">
        <w:t xml:space="preserve"> by </w:t>
      </w:r>
      <w:bookmarkEnd w:id="30"/>
      <w:r w:rsidR="00B175CB">
        <w:t>External AF</w:t>
      </w:r>
      <w:r w:rsidR="006B5FA3">
        <w:t xml:space="preserve"> or AF</w:t>
      </w:r>
    </w:p>
    <w:p w14:paraId="412621E3" w14:textId="085255A3" w:rsidR="00370ED0" w:rsidRDefault="00E43A96" w:rsidP="000628FD">
      <w:r>
        <w:t>This clause specifies the procedure by which</w:t>
      </w:r>
      <w:r w:rsidR="006F6B91">
        <w:t xml:space="preserve"> a </w:t>
      </w:r>
      <w:r w:rsidR="004E30C7">
        <w:t xml:space="preserve">UE data collection and reporting </w:t>
      </w:r>
      <w:r w:rsidR="006F6B91">
        <w:t xml:space="preserve">configuration </w:t>
      </w:r>
      <w:r w:rsidR="00CF23C8">
        <w:t>is</w:t>
      </w:r>
      <w:r w:rsidR="00080FB3">
        <w:t xml:space="preserve"> provisioned</w:t>
      </w:r>
      <w:r w:rsidR="00292D20">
        <w:t xml:space="preserve"> by an </w:t>
      </w:r>
      <w:r w:rsidR="006B5FA3">
        <w:t xml:space="preserve">(untrusted) </w:t>
      </w:r>
      <w:r w:rsidR="00292D20">
        <w:t>External AF</w:t>
      </w:r>
      <w:r w:rsidR="00370ED0">
        <w:t xml:space="preserve"> </w:t>
      </w:r>
      <w:r w:rsidR="006B5FA3">
        <w:t xml:space="preserve">or an (trusted) AF </w:t>
      </w:r>
      <w:r w:rsidR="00370ED0">
        <w:t>on the DC AF</w:t>
      </w:r>
      <w:r w:rsidR="00F23D87">
        <w:t>. The following ways are possible:</w:t>
      </w:r>
    </w:p>
    <w:p w14:paraId="6D0EB58E" w14:textId="33B05517" w:rsidR="006B5FA3" w:rsidRDefault="00370ED0" w:rsidP="00370ED0">
      <w:pPr>
        <w:pStyle w:val="B1"/>
        <w:numPr>
          <w:ilvl w:val="0"/>
          <w:numId w:val="9"/>
        </w:numPr>
      </w:pPr>
      <w:r>
        <w:t xml:space="preserve">For a trusted DC AF, provisioning is performed indirectly </w:t>
      </w:r>
      <w:r w:rsidR="00080FB3">
        <w:t xml:space="preserve">by </w:t>
      </w:r>
      <w:r w:rsidR="00292D20">
        <w:t>an</w:t>
      </w:r>
      <w:r w:rsidR="009912F4">
        <w:t xml:space="preserve"> </w:t>
      </w:r>
      <w:r w:rsidR="00293C5E">
        <w:t>External AF</w:t>
      </w:r>
      <w:r w:rsidR="00567C99">
        <w:t xml:space="preserve"> </w:t>
      </w:r>
      <w:r w:rsidR="00567C99">
        <w:t>on the DC AF</w:t>
      </w:r>
      <w:r w:rsidR="00567C99">
        <w:t>,</w:t>
      </w:r>
      <w:r w:rsidR="00080FB3">
        <w:t xml:space="preserve"> </w:t>
      </w:r>
      <w:r>
        <w:t>via</w:t>
      </w:r>
      <w:r w:rsidR="009912F4">
        <w:t xml:space="preserve"> the NEF</w:t>
      </w:r>
      <w:r>
        <w:t xml:space="preserve"> (using the appropriate NEF-</w:t>
      </w:r>
      <w:r w:rsidR="001C02A1">
        <w:t>offered</w:t>
      </w:r>
      <w:r>
        <w:t xml:space="preserve"> service and API</w:t>
      </w:r>
      <w:r w:rsidR="006F53E5">
        <w:t>,</w:t>
      </w:r>
      <w:r w:rsidR="006B5FA3">
        <w:t>.</w:t>
      </w:r>
    </w:p>
    <w:p w14:paraId="38275391" w14:textId="1A24095F" w:rsidR="001C02A1" w:rsidRDefault="006B5FA3" w:rsidP="00332C65">
      <w:pPr>
        <w:pStyle w:val="B1"/>
        <w:numPr>
          <w:ilvl w:val="0"/>
          <w:numId w:val="9"/>
        </w:numPr>
      </w:pPr>
      <w:r>
        <w:t xml:space="preserve">For a trusted DC AF, provisioning is performed </w:t>
      </w:r>
      <w:r w:rsidR="00370ED0">
        <w:t xml:space="preserve">directly </w:t>
      </w:r>
      <w:r w:rsidR="001C02A1">
        <w:t xml:space="preserve">by </w:t>
      </w:r>
      <w:r>
        <w:t>an</w:t>
      </w:r>
      <w:r w:rsidR="001C02A1">
        <w:t xml:space="preserve"> AF</w:t>
      </w:r>
      <w:r w:rsidR="00567C99">
        <w:t xml:space="preserve"> </w:t>
      </w:r>
      <w:r w:rsidR="00567C99">
        <w:t>on the DC AF</w:t>
      </w:r>
      <w:r w:rsidR="00EB17E9">
        <w:t>,</w:t>
      </w:r>
      <w:r w:rsidR="001C02A1">
        <w:t xml:space="preserve"> </w:t>
      </w:r>
      <w:r w:rsidR="00370ED0">
        <w:t>over the R3 reference point</w:t>
      </w:r>
      <w:r w:rsidR="00E43A96">
        <w:t>.</w:t>
      </w:r>
    </w:p>
    <w:p w14:paraId="10CDB66D" w14:textId="10291636" w:rsidR="004E1F84" w:rsidRDefault="001C02A1" w:rsidP="00332C65">
      <w:pPr>
        <w:pStyle w:val="B1"/>
        <w:numPr>
          <w:ilvl w:val="0"/>
          <w:numId w:val="9"/>
        </w:numPr>
      </w:pPr>
      <w:r>
        <w:t xml:space="preserve">For an untrusted DC AF, provisioning is performed indirectly </w:t>
      </w:r>
      <w:r w:rsidR="00EB17E9">
        <w:t xml:space="preserve">by an AF </w:t>
      </w:r>
      <w:r>
        <w:t>on the DC AF</w:t>
      </w:r>
      <w:r w:rsidR="00EB17E9">
        <w:t>,</w:t>
      </w:r>
      <w:r>
        <w:t xml:space="preserve"> via the NEF (using the appropriate NEF-offered service and API).</w:t>
      </w:r>
    </w:p>
    <w:p w14:paraId="3DBE6D4F" w14:textId="330F7D67" w:rsidR="006D4DB2" w:rsidRDefault="006D4DB2" w:rsidP="006D4DB2">
      <w:pPr>
        <w:pStyle w:val="Heading2"/>
      </w:pPr>
      <w:bookmarkStart w:id="31" w:name="_Toc76548415"/>
      <w:r>
        <w:lastRenderedPageBreak/>
        <w:t>4.</w:t>
      </w:r>
      <w:r w:rsidR="006B5FA3">
        <w:t>3</w:t>
      </w:r>
      <w:r>
        <w:tab/>
        <w:t>Data reporting configuration by Data Collection AF</w:t>
      </w:r>
      <w:bookmarkEnd w:id="31"/>
    </w:p>
    <w:p w14:paraId="3D28C022" w14:textId="3820904F" w:rsidR="005B618D" w:rsidRDefault="006D4DB2" w:rsidP="006D4DB2">
      <w:r>
        <w:t xml:space="preserve">This clause specifies the procedure by which </w:t>
      </w:r>
      <w:r w:rsidR="00176313">
        <w:t xml:space="preserve">the </w:t>
      </w:r>
      <w:r w:rsidR="00891488">
        <w:t>DC</w:t>
      </w:r>
      <w:r w:rsidR="00711ACA">
        <w:t xml:space="preserve"> AF</w:t>
      </w:r>
      <w:r w:rsidR="00C668E7">
        <w:t xml:space="preserve"> </w:t>
      </w:r>
      <w:r w:rsidR="00711ACA">
        <w:t>provide</w:t>
      </w:r>
      <w:r w:rsidR="00E84B05">
        <w:t>s</w:t>
      </w:r>
      <w:r w:rsidR="00711ACA">
        <w:t xml:space="preserve"> </w:t>
      </w:r>
      <w:r w:rsidR="00FE3331">
        <w:t xml:space="preserve">a </w:t>
      </w:r>
      <w:r w:rsidR="00711ACA">
        <w:t xml:space="preserve">reporting configuration </w:t>
      </w:r>
      <w:r w:rsidR="00D2606C">
        <w:t>to</w:t>
      </w:r>
      <w:r w:rsidR="001C02A1">
        <w:t xml:space="preserve"> </w:t>
      </w:r>
      <w:r w:rsidR="00292D20">
        <w:t>an</w:t>
      </w:r>
      <w:r w:rsidR="001C02A1">
        <w:t xml:space="preserve"> External AF or </w:t>
      </w:r>
      <w:r w:rsidR="00292D20">
        <w:t>an</w:t>
      </w:r>
      <w:r w:rsidR="001C02A1">
        <w:t xml:space="preserve"> AS</w:t>
      </w:r>
      <w:r w:rsidR="00C473F0">
        <w:t xml:space="preserve">, enabling the latter to report data that it has collected to the </w:t>
      </w:r>
      <w:r w:rsidR="00891488">
        <w:t>DC</w:t>
      </w:r>
      <w:r w:rsidR="00C473F0">
        <w:t xml:space="preserve"> AF for subsequent event exposure to consumer entities</w:t>
      </w:r>
      <w:r w:rsidR="006B5FA3">
        <w:t>. The</w:t>
      </w:r>
      <w:r w:rsidR="001C02A1">
        <w:t xml:space="preserve"> following ways</w:t>
      </w:r>
      <w:r w:rsidR="006B5FA3">
        <w:t xml:space="preserve"> are possible</w:t>
      </w:r>
      <w:r w:rsidR="001C02A1">
        <w:t>:</w:t>
      </w:r>
    </w:p>
    <w:p w14:paraId="39F9DB84" w14:textId="1DD2A422" w:rsidR="001C02A1" w:rsidRDefault="00D7130C" w:rsidP="001C02A1">
      <w:pPr>
        <w:pStyle w:val="B1"/>
        <w:numPr>
          <w:ilvl w:val="0"/>
          <w:numId w:val="9"/>
        </w:numPr>
      </w:pPr>
      <w:r>
        <w:t xml:space="preserve">A trusted DC AF provides </w:t>
      </w:r>
      <w:r w:rsidR="00483790">
        <w:t>a</w:t>
      </w:r>
      <w:r>
        <w:t xml:space="preserve"> reporting configuration</w:t>
      </w:r>
      <w:r w:rsidR="00483790">
        <w:t xml:space="preserve"> </w:t>
      </w:r>
      <w:r w:rsidR="00B603B1">
        <w:t xml:space="preserve">indirectly </w:t>
      </w:r>
      <w:r>
        <w:t xml:space="preserve">to </w:t>
      </w:r>
      <w:r w:rsidR="00292D20">
        <w:t>an</w:t>
      </w:r>
      <w:r>
        <w:t xml:space="preserve"> External AF</w:t>
      </w:r>
      <w:r w:rsidR="00483790">
        <w:t xml:space="preserve"> via the NEF (using the appropriate NEF-offered service and API).</w:t>
      </w:r>
    </w:p>
    <w:p w14:paraId="0BD6D66C" w14:textId="795F5495" w:rsidR="00483790" w:rsidRDefault="00483790" w:rsidP="001C02A1">
      <w:pPr>
        <w:pStyle w:val="B1"/>
        <w:numPr>
          <w:ilvl w:val="0"/>
          <w:numId w:val="9"/>
        </w:numPr>
      </w:pPr>
      <w:r>
        <w:t xml:space="preserve">A trusted DC AF provides a reporting configuration directly to </w:t>
      </w:r>
      <w:r w:rsidR="00292D20">
        <w:t>an</w:t>
      </w:r>
      <w:r>
        <w:t xml:space="preserve"> AS over the R4 reference point.</w:t>
      </w:r>
    </w:p>
    <w:p w14:paraId="06645397" w14:textId="4F7350AE" w:rsidR="00483790" w:rsidRDefault="00483790" w:rsidP="001C02A1">
      <w:pPr>
        <w:pStyle w:val="B1"/>
        <w:numPr>
          <w:ilvl w:val="0"/>
          <w:numId w:val="9"/>
        </w:numPr>
      </w:pPr>
      <w:r>
        <w:t xml:space="preserve">An untrusted DC AF provides a reporting configuration indirectly to </w:t>
      </w:r>
      <w:r w:rsidR="00292D20">
        <w:t>an</w:t>
      </w:r>
      <w:r>
        <w:t xml:space="preserve"> AS via the NEF (using the appropriate NEF-offered service and API).</w:t>
      </w:r>
    </w:p>
    <w:p w14:paraId="45E97C6C" w14:textId="0B87B2FC" w:rsidR="00F524FB" w:rsidRDefault="00F524FB" w:rsidP="00F524FB">
      <w:pPr>
        <w:pStyle w:val="Heading2"/>
      </w:pPr>
      <w:bookmarkStart w:id="32" w:name="_Toc76548416"/>
      <w:r>
        <w:t>4.</w:t>
      </w:r>
      <w:r w:rsidR="006B5FA3">
        <w:t>4</w:t>
      </w:r>
      <w:r w:rsidR="008D4FEC">
        <w:tab/>
      </w:r>
      <w:r w:rsidR="00776C30">
        <w:t>E</w:t>
      </w:r>
      <w:r w:rsidR="00201C82">
        <w:t>vent subscription, management and publication</w:t>
      </w:r>
      <w:bookmarkEnd w:id="32"/>
    </w:p>
    <w:p w14:paraId="6FDBDE4C" w14:textId="45BD6BAE" w:rsidR="00035DA9" w:rsidRDefault="00FB5579" w:rsidP="00035DA9">
      <w:r>
        <w:t xml:space="preserve">This clause specifies the procedure </w:t>
      </w:r>
      <w:r w:rsidR="00547180">
        <w:t xml:space="preserve">by which the </w:t>
      </w:r>
      <w:r>
        <w:t xml:space="preserve">event </w:t>
      </w:r>
      <w:r w:rsidR="00035DA9">
        <w:t xml:space="preserve">exposure </w:t>
      </w:r>
      <w:r>
        <w:t xml:space="preserve">service </w:t>
      </w:r>
      <w:r w:rsidR="00FC6250">
        <w:t>is</w:t>
      </w:r>
      <w:r w:rsidR="002763E4">
        <w:t xml:space="preserve"> </w:t>
      </w:r>
      <w:r>
        <w:t xml:space="preserve">provided by the </w:t>
      </w:r>
      <w:r w:rsidR="008121F0">
        <w:t>DC</w:t>
      </w:r>
      <w:r>
        <w:t xml:space="preserve"> AF to</w:t>
      </w:r>
      <w:r w:rsidR="00292D20">
        <w:t xml:space="preserve"> an External AF or the NWDAF</w:t>
      </w:r>
      <w:r w:rsidR="00035DA9">
        <w:t>.</w:t>
      </w:r>
      <w:r w:rsidR="00292D20">
        <w:t xml:space="preserve"> </w:t>
      </w:r>
      <w:r w:rsidR="00035DA9">
        <w:t>The following ways are possible:</w:t>
      </w:r>
    </w:p>
    <w:p w14:paraId="59AA7F7A" w14:textId="4AD4E5E9" w:rsidR="00F61E59" w:rsidRDefault="00F61E59" w:rsidP="00035DA9">
      <w:pPr>
        <w:pStyle w:val="NO"/>
        <w:numPr>
          <w:ilvl w:val="0"/>
          <w:numId w:val="9"/>
        </w:numPr>
      </w:pPr>
      <w:r>
        <w:t xml:space="preserve">The External AF </w:t>
      </w:r>
      <w:r w:rsidR="00035DA9">
        <w:t>subscribes to event exposure service offered by</w:t>
      </w:r>
      <w:r>
        <w:t xml:space="preserve"> a trusted DC AF </w:t>
      </w:r>
      <w:r w:rsidR="00035DA9">
        <w:t>via the NEF (using the appropriate NEF-offered service and API).</w:t>
      </w:r>
    </w:p>
    <w:p w14:paraId="29AFE56F" w14:textId="3FA2F646" w:rsidR="00035DA9" w:rsidRDefault="005F082E" w:rsidP="00035DA9">
      <w:pPr>
        <w:pStyle w:val="NO"/>
        <w:numPr>
          <w:ilvl w:val="0"/>
          <w:numId w:val="9"/>
        </w:numPr>
      </w:pPr>
      <w:r>
        <w:t xml:space="preserve">The NWDAF subscribes to event exposure service offered by a trusted DC AF via the </w:t>
      </w:r>
      <w:r w:rsidRPr="00332C65">
        <w:rPr>
          <w:rFonts w:ascii="Arial" w:hAnsi="Arial" w:cs="Arial"/>
          <w:i/>
          <w:iCs/>
          <w:sz w:val="18"/>
          <w:szCs w:val="18"/>
        </w:rPr>
        <w:t>Naf_EventExposure</w:t>
      </w:r>
      <w:r>
        <w:t xml:space="preserve"> service </w:t>
      </w:r>
      <w:r w:rsidR="00DA34F4">
        <w:t xml:space="preserve">as specified in TS 23.502 [4] and the associated </w:t>
      </w:r>
      <w:r>
        <w:t xml:space="preserve">API as </w:t>
      </w:r>
      <w:r w:rsidR="00DA34F4">
        <w:t>specified</w:t>
      </w:r>
      <w:r>
        <w:t xml:space="preserve"> in TS 29.517 [6].</w:t>
      </w:r>
    </w:p>
    <w:p w14:paraId="4F32912B" w14:textId="25B667D1" w:rsidR="005F082E" w:rsidRDefault="005F082E" w:rsidP="00332C65">
      <w:pPr>
        <w:pStyle w:val="NO"/>
        <w:numPr>
          <w:ilvl w:val="0"/>
          <w:numId w:val="9"/>
        </w:numPr>
      </w:pPr>
      <w:r>
        <w:t xml:space="preserve">The NWDAF subscribes to event exposure service offered by a trusted DC AF via the NEF via the </w:t>
      </w:r>
      <w:r w:rsidR="00DA34F4" w:rsidRPr="00332C65">
        <w:rPr>
          <w:rFonts w:ascii="Arial" w:hAnsi="Arial" w:cs="Arial"/>
          <w:i/>
          <w:iCs/>
          <w:sz w:val="18"/>
          <w:szCs w:val="18"/>
        </w:rPr>
        <w:t>Nnef_EventExposure</w:t>
      </w:r>
      <w:r w:rsidR="00DA34F4">
        <w:t xml:space="preserve"> service as specified in TS 23.502 [4] </w:t>
      </w:r>
    </w:p>
    <w:p w14:paraId="06A56861" w14:textId="340E4845" w:rsidR="00FB5579" w:rsidRDefault="00FB5579" w:rsidP="00FB5579">
      <w:pPr>
        <w:pStyle w:val="Heading2"/>
      </w:pPr>
      <w:bookmarkStart w:id="33" w:name="_Toc76548417"/>
      <w:r>
        <w:t>4.</w:t>
      </w:r>
      <w:r w:rsidR="006B5FA3">
        <w:t>5</w:t>
      </w:r>
      <w:r w:rsidR="006668DD">
        <w:tab/>
      </w:r>
      <w:r w:rsidR="000447BA">
        <w:t>I</w:t>
      </w:r>
      <w:r w:rsidR="00EE73BD">
        <w:t>ndirect reporting</w:t>
      </w:r>
      <w:bookmarkEnd w:id="33"/>
    </w:p>
    <w:p w14:paraId="3AEF7018" w14:textId="5203AEAF" w:rsidR="00F8092D" w:rsidRPr="00B13D00" w:rsidRDefault="00F8092D" w:rsidP="00F8092D">
      <w:r>
        <w:t xml:space="preserve">This clause specifies the procedure by which the </w:t>
      </w:r>
      <w:r w:rsidR="00064D61">
        <w:t>External AF</w:t>
      </w:r>
      <w:r w:rsidR="009C1654">
        <w:t>,</w:t>
      </w:r>
      <w:r w:rsidR="003A025E">
        <w:t xml:space="preserve"> </w:t>
      </w:r>
      <w:r w:rsidR="00022613">
        <w:t xml:space="preserve">over </w:t>
      </w:r>
      <w:r w:rsidR="00863744">
        <w:t xml:space="preserve">the </w:t>
      </w:r>
      <w:r w:rsidR="00022613">
        <w:t>R1</w:t>
      </w:r>
      <w:r>
        <w:t xml:space="preserve"> </w:t>
      </w:r>
      <w:r w:rsidR="00863744">
        <w:t>interface point,</w:t>
      </w:r>
      <w:r>
        <w:t xml:space="preserve"> </w:t>
      </w:r>
      <w:r w:rsidR="00064D61">
        <w:t>reports</w:t>
      </w:r>
      <w:r>
        <w:t xml:space="preserve"> UE</w:t>
      </w:r>
      <w:r w:rsidR="006A106A">
        <w:t xml:space="preserve"> Application</w:t>
      </w:r>
      <w:r>
        <w:t xml:space="preserve"> data that it had received</w:t>
      </w:r>
      <w:r w:rsidR="003A4FCA">
        <w:t xml:space="preserve"> over the R7 reference point,</w:t>
      </w:r>
      <w:r>
        <w:t xml:space="preserve"> to the </w:t>
      </w:r>
      <w:r w:rsidR="00064D61">
        <w:t>trusted DC</w:t>
      </w:r>
      <w:r>
        <w:t xml:space="preserve"> AF</w:t>
      </w:r>
      <w:r w:rsidR="00064D61">
        <w:t xml:space="preserve">. This </w:t>
      </w:r>
      <w:r w:rsidR="00F85558">
        <w:t xml:space="preserve">procedure employs the </w:t>
      </w:r>
      <w:r w:rsidR="00064D61" w:rsidRPr="00D008B4">
        <w:rPr>
          <w:rFonts w:ascii="Arial" w:hAnsi="Arial" w:cs="Arial"/>
          <w:i/>
          <w:iCs/>
          <w:sz w:val="18"/>
          <w:szCs w:val="18"/>
        </w:rPr>
        <w:t>Ndcaf_Reporting</w:t>
      </w:r>
      <w:r w:rsidR="00064D61">
        <w:t xml:space="preserve"> service as defined in TS 26.531 [2] and whose API is specified in clause </w:t>
      </w:r>
      <w:r w:rsidR="009C1654" w:rsidRPr="009C1654">
        <w:rPr>
          <w:highlight w:val="yellow"/>
        </w:rPr>
        <w:t>X</w:t>
      </w:r>
      <w:r w:rsidR="00064D61">
        <w:t>.</w:t>
      </w:r>
    </w:p>
    <w:p w14:paraId="017A7C76" w14:textId="0D4407FD" w:rsidR="00F8092D" w:rsidRDefault="000309EB" w:rsidP="000309EB">
      <w:pPr>
        <w:pStyle w:val="Heading2"/>
      </w:pPr>
      <w:bookmarkStart w:id="34" w:name="_Toc76548418"/>
      <w:r>
        <w:t>4.</w:t>
      </w:r>
      <w:r w:rsidR="00035DA9">
        <w:t>6</w:t>
      </w:r>
      <w:r>
        <w:tab/>
      </w:r>
      <w:r w:rsidR="00D9045B">
        <w:t>R</w:t>
      </w:r>
      <w:r w:rsidR="005D6F33">
        <w:t xml:space="preserve">eporting </w:t>
      </w:r>
      <w:r w:rsidR="001B104B">
        <w:t>by</w:t>
      </w:r>
      <w:r w:rsidR="007525F7">
        <w:t xml:space="preserve"> </w:t>
      </w:r>
      <w:r w:rsidR="00C9436A">
        <w:t>AS</w:t>
      </w:r>
      <w:r w:rsidR="001B104B">
        <w:t xml:space="preserve"> to </w:t>
      </w:r>
      <w:r w:rsidR="007525F7">
        <w:t>Data Collection AF</w:t>
      </w:r>
      <w:bookmarkEnd w:id="34"/>
    </w:p>
    <w:p w14:paraId="68E20773" w14:textId="6BECAF6C" w:rsidR="002B4E35" w:rsidRPr="00B13D00" w:rsidRDefault="002B4E35" w:rsidP="002B4E35">
      <w:r>
        <w:t xml:space="preserve">This clause specifies the procedure </w:t>
      </w:r>
      <w:r w:rsidR="007E54ED">
        <w:t>by wh</w:t>
      </w:r>
      <w:r w:rsidR="00C0413D">
        <w:t>ich</w:t>
      </w:r>
      <w:r>
        <w:t xml:space="preserve"> the </w:t>
      </w:r>
      <w:r w:rsidR="00F85558">
        <w:t>DC</w:t>
      </w:r>
      <w:r>
        <w:t xml:space="preserve"> AF acquire</w:t>
      </w:r>
      <w:r w:rsidR="00C0413D">
        <w:t>s</w:t>
      </w:r>
      <w:r w:rsidR="003977F1">
        <w:t>, over the R3 reference point,</w:t>
      </w:r>
      <w:r w:rsidR="00A070E6">
        <w:t xml:space="preserve"> data</w:t>
      </w:r>
      <w:r w:rsidR="0095303D">
        <w:t xml:space="preserve"> that is </w:t>
      </w:r>
      <w:r w:rsidR="009C1171">
        <w:t>collected by</w:t>
      </w:r>
      <w:r w:rsidR="00A070E6">
        <w:t xml:space="preserve"> </w:t>
      </w:r>
      <w:r w:rsidR="00F85558">
        <w:t>an</w:t>
      </w:r>
      <w:r w:rsidR="00B8674A">
        <w:t xml:space="preserve"> AS</w:t>
      </w:r>
      <w:r w:rsidR="00F85558">
        <w:t xml:space="preserve">. </w:t>
      </w:r>
      <w:r w:rsidR="0095303D">
        <w:t xml:space="preserve"> </w:t>
      </w:r>
      <w:r w:rsidR="00F85558">
        <w:t xml:space="preserve">This procedure employs the </w:t>
      </w:r>
      <w:r w:rsidR="00F85558" w:rsidRPr="00D008B4">
        <w:rPr>
          <w:rFonts w:ascii="Arial" w:hAnsi="Arial" w:cs="Arial"/>
          <w:i/>
          <w:iCs/>
          <w:sz w:val="18"/>
          <w:szCs w:val="18"/>
        </w:rPr>
        <w:t>Ndcaf_Reporting</w:t>
      </w:r>
      <w:r w:rsidR="00F85558">
        <w:t xml:space="preserve"> service as defined in TS 26.531 [2] and whose API is specified in clause </w:t>
      </w:r>
      <w:r w:rsidR="009C1654" w:rsidRPr="009C1654">
        <w:rPr>
          <w:highlight w:val="yellow"/>
        </w:rPr>
        <w:t>X</w:t>
      </w:r>
      <w:r w:rsidR="0042442C">
        <w:t xml:space="preserve">. Such data </w:t>
      </w:r>
      <w:r w:rsidR="00F85558">
        <w:t xml:space="preserve">is </w:t>
      </w:r>
      <w:r w:rsidR="00F37FCE">
        <w:t xml:space="preserve">deemed </w:t>
      </w:r>
      <w:r w:rsidR="00CD040F">
        <w:t xml:space="preserve">suitable for subsequent event exposure by the </w:t>
      </w:r>
      <w:r w:rsidR="00F85558">
        <w:t>DC</w:t>
      </w:r>
      <w:r w:rsidR="00CD040F">
        <w:t xml:space="preserve"> AF to consumer enti</w:t>
      </w:r>
      <w:r w:rsidR="002F0C88">
        <w:t>ties</w:t>
      </w:r>
      <w:r w:rsidR="00A10A82">
        <w:t>.</w:t>
      </w:r>
    </w:p>
    <w:p w14:paraId="25BAD954" w14:textId="645CD172" w:rsidR="00035DA9" w:rsidRDefault="00035DA9" w:rsidP="00035DA9">
      <w:pPr>
        <w:pStyle w:val="Heading2"/>
      </w:pPr>
      <w:r>
        <w:t>4.7</w:t>
      </w:r>
      <w:r>
        <w:tab/>
      </w:r>
      <w:r w:rsidR="00B104EF">
        <w:t xml:space="preserve">Registration by DC AF </w:t>
      </w:r>
      <w:r w:rsidR="005F082E">
        <w:t>to NRF</w:t>
      </w:r>
    </w:p>
    <w:p w14:paraId="2B21367A" w14:textId="4E9CBF14" w:rsidR="00812CC9" w:rsidRDefault="00812CC9" w:rsidP="00812CC9">
      <w:r>
        <w:t xml:space="preserve">This clause specifies procedure by which the DC AF registers its profile to the NRF </w:t>
      </w:r>
      <w:r w:rsidR="00AE1EF9">
        <w:t xml:space="preserve">(over the unnamed reference point between DC AF and NRF in Figure 4.2-1 of TS 25.531 [2] </w:t>
      </w:r>
      <w:r>
        <w:t>). This procedure</w:t>
      </w:r>
      <w:r w:rsidR="009A08DA">
        <w:t>, by</w:t>
      </w:r>
      <w:r>
        <w:t xml:space="preserve"> employ</w:t>
      </w:r>
      <w:r w:rsidR="009A08DA">
        <w:t>ing</w:t>
      </w:r>
      <w:r>
        <w:t xml:space="preserve"> the </w:t>
      </w:r>
      <w:r w:rsidRPr="00FE0D18">
        <w:rPr>
          <w:rStyle w:val="Code"/>
        </w:rPr>
        <w:t>Nnrf_NFManagement</w:t>
      </w:r>
      <w:r>
        <w:t xml:space="preserve"> service as defined in TS 23.502, enables the discovery of the DC AF by consumer entities </w:t>
      </w:r>
      <w:r w:rsidR="00225738">
        <w:t>through the NRF.</w:t>
      </w:r>
    </w:p>
    <w:p w14:paraId="4D86FCBA" w14:textId="473AB15A" w:rsidR="004C1BF8" w:rsidRDefault="004C1BF8" w:rsidP="004C1BF8">
      <w:pPr>
        <w:pStyle w:val="Heading1"/>
      </w:pPr>
      <w:bookmarkStart w:id="35" w:name="_Toc76548420"/>
      <w:r>
        <w:t>5</w:t>
      </w:r>
      <w:r>
        <w:tab/>
        <w:t>UE-to-</w:t>
      </w:r>
      <w:r w:rsidR="00E66162">
        <w:t>N</w:t>
      </w:r>
      <w:r>
        <w:t xml:space="preserve">etwork </w:t>
      </w:r>
      <w:r w:rsidR="000060BD">
        <w:t>procedures</w:t>
      </w:r>
      <w:bookmarkEnd w:id="35"/>
    </w:p>
    <w:p w14:paraId="4A1EEBB6" w14:textId="4CA96281" w:rsidR="00D964EA" w:rsidRDefault="00D964EA" w:rsidP="00D964EA">
      <w:pPr>
        <w:pStyle w:val="Heading2"/>
      </w:pPr>
      <w:bookmarkStart w:id="36" w:name="_Toc76548421"/>
      <w:r>
        <w:t>5.1</w:t>
      </w:r>
      <w:r>
        <w:tab/>
      </w:r>
      <w:r w:rsidR="00A636ED">
        <w:t>Data</w:t>
      </w:r>
      <w:r>
        <w:t xml:space="preserve"> collection and reporting configuration</w:t>
      </w:r>
      <w:bookmarkEnd w:id="36"/>
    </w:p>
    <w:p w14:paraId="1F458D32" w14:textId="13B81A2A" w:rsidR="00D964EA" w:rsidRDefault="00ED0EE9" w:rsidP="00D964EA">
      <w:r>
        <w:t>This clause specifies the procedure</w:t>
      </w:r>
      <w:r w:rsidR="00CF6CE4">
        <w:t xml:space="preserve">, </w:t>
      </w:r>
      <w:r w:rsidR="007461A1">
        <w:t xml:space="preserve">after the </w:t>
      </w:r>
      <w:r w:rsidR="00B175CB">
        <w:t>External AF</w:t>
      </w:r>
      <w:r w:rsidR="00055569">
        <w:t xml:space="preserve"> </w:t>
      </w:r>
      <w:r w:rsidR="007461A1">
        <w:t xml:space="preserve">has </w:t>
      </w:r>
      <w:r w:rsidR="00CF6CE4">
        <w:t xml:space="preserve">previously </w:t>
      </w:r>
      <w:r w:rsidR="007461A1">
        <w:t xml:space="preserve">provisioned </w:t>
      </w:r>
      <w:r w:rsidR="004D727E">
        <w:t xml:space="preserve">a </w:t>
      </w:r>
      <w:r w:rsidR="007461A1">
        <w:t xml:space="preserve">data collection and reporting configuration </w:t>
      </w:r>
      <w:r w:rsidR="00717606">
        <w:t>on</w:t>
      </w:r>
      <w:r w:rsidR="007461A1">
        <w:t xml:space="preserve"> the </w:t>
      </w:r>
      <w:r w:rsidR="00C12B23">
        <w:t>DC</w:t>
      </w:r>
      <w:r w:rsidR="007461A1">
        <w:t xml:space="preserve"> AF</w:t>
      </w:r>
      <w:r w:rsidR="00CF6CE4">
        <w:t>,</w:t>
      </w:r>
      <w:r>
        <w:t xml:space="preserve"> by which the </w:t>
      </w:r>
      <w:r w:rsidR="00C12B23">
        <w:t>Data Collection Client (DC Client) obtain</w:t>
      </w:r>
      <w:r w:rsidR="00A852FB">
        <w:t>s</w:t>
      </w:r>
      <w:r w:rsidR="0074263B">
        <w:t xml:space="preserve">, over </w:t>
      </w:r>
      <w:r w:rsidR="007C0C0B">
        <w:t>the R2</w:t>
      </w:r>
      <w:r w:rsidR="00070B2A">
        <w:t xml:space="preserve"> reference point,</w:t>
      </w:r>
      <w:r>
        <w:t xml:space="preserve"> </w:t>
      </w:r>
      <w:r w:rsidR="00C12B23">
        <w:t xml:space="preserve">its data collection and reporting </w:t>
      </w:r>
      <w:r w:rsidR="00C12B23" w:rsidRPr="00C44458">
        <w:t xml:space="preserve">configuration from the </w:t>
      </w:r>
      <w:r w:rsidR="00A852FB">
        <w:t>DC AF</w:t>
      </w:r>
      <w:r w:rsidR="008021BC">
        <w:t>.</w:t>
      </w:r>
    </w:p>
    <w:p w14:paraId="55307866" w14:textId="0906D93B" w:rsidR="00162E80" w:rsidRDefault="00FD3141" w:rsidP="000060BD">
      <w:pPr>
        <w:pStyle w:val="Heading2"/>
      </w:pPr>
      <w:bookmarkStart w:id="37" w:name="_Toc76548422"/>
      <w:r>
        <w:lastRenderedPageBreak/>
        <w:t>5.2</w:t>
      </w:r>
      <w:r>
        <w:tab/>
        <w:t>Direct reporting of UE data to Data Collection AF</w:t>
      </w:r>
    </w:p>
    <w:p w14:paraId="66C84FF3" w14:textId="5EC2BE6A" w:rsidR="00A702FF" w:rsidRDefault="00A702FF" w:rsidP="00D7018C">
      <w:r>
        <w:t xml:space="preserve">This clause specifies the procedures whereby the </w:t>
      </w:r>
      <w:r w:rsidR="000B5087">
        <w:t>DC</w:t>
      </w:r>
      <w:r>
        <w:t xml:space="preserve"> Client</w:t>
      </w:r>
      <w:r w:rsidR="00AB67B0">
        <w:t>,</w:t>
      </w:r>
      <w:r>
        <w:t xml:space="preserve"> </w:t>
      </w:r>
      <w:r w:rsidR="000B5087">
        <w:t>upon having obtained its data collection and reporting configuration from the DC AF</w:t>
      </w:r>
      <w:r w:rsidR="002668E2">
        <w:t>,</w:t>
      </w:r>
      <w:r w:rsidR="000B5087">
        <w:t xml:space="preserve"> performs reporting</w:t>
      </w:r>
      <w:r w:rsidR="00E31075">
        <w:t>,</w:t>
      </w:r>
      <w:r w:rsidR="000B5087">
        <w:t xml:space="preserve"> </w:t>
      </w:r>
      <w:r w:rsidR="002668E2">
        <w:t>over the R2 reference point</w:t>
      </w:r>
      <w:r w:rsidR="00AA1722">
        <w:t xml:space="preserve"> to the DC AF</w:t>
      </w:r>
      <w:r w:rsidR="000465FD">
        <w:t>,</w:t>
      </w:r>
      <w:r>
        <w:t xml:space="preserve"> </w:t>
      </w:r>
      <w:r w:rsidR="00BE4343">
        <w:t xml:space="preserve">of </w:t>
      </w:r>
      <w:r w:rsidR="000B5087">
        <w:t xml:space="preserve">the collected </w:t>
      </w:r>
      <w:r>
        <w:t xml:space="preserve">data </w:t>
      </w:r>
      <w:r w:rsidR="000B5087">
        <w:t xml:space="preserve">in accordance </w:t>
      </w:r>
      <w:r w:rsidR="00E223C8">
        <w:t>with</w:t>
      </w:r>
      <w:r w:rsidR="000B5087">
        <w:t xml:space="preserve"> that configuration. This procedure employs the </w:t>
      </w:r>
      <w:r w:rsidR="000B5087" w:rsidRPr="00D008B4">
        <w:rPr>
          <w:rFonts w:ascii="Arial" w:hAnsi="Arial" w:cs="Arial"/>
          <w:i/>
          <w:iCs/>
          <w:sz w:val="18"/>
          <w:szCs w:val="18"/>
        </w:rPr>
        <w:t>Ndcaf_Reporting</w:t>
      </w:r>
      <w:r w:rsidR="000B5087">
        <w:t xml:space="preserve"> service as defined in TS 26.531 [2] and whose API is specified in clause </w:t>
      </w:r>
      <w:r w:rsidR="00AF77DF" w:rsidRPr="00AF77DF">
        <w:rPr>
          <w:highlight w:val="yellow"/>
        </w:rPr>
        <w:t>X</w:t>
      </w:r>
      <w:r w:rsidR="00D77F4E">
        <w:t>.</w:t>
      </w:r>
    </w:p>
    <w:p w14:paraId="28E5189F" w14:textId="596DABE1" w:rsidR="00D101EF" w:rsidRDefault="00D101EF" w:rsidP="00D101EF">
      <w:pPr>
        <w:pStyle w:val="Heading1"/>
      </w:pPr>
      <w:bookmarkStart w:id="38" w:name="_Toc76548423"/>
      <w:bookmarkEnd w:id="37"/>
      <w:r>
        <w:t>6</w:t>
      </w:r>
      <w:r w:rsidRPr="004D3578">
        <w:tab/>
      </w:r>
      <w:r w:rsidR="00210F3C">
        <w:t xml:space="preserve">UE-internal </w:t>
      </w:r>
      <w:r w:rsidR="00C4031F">
        <w:t>procedures</w:t>
      </w:r>
      <w:bookmarkEnd w:id="38"/>
    </w:p>
    <w:p w14:paraId="7ECEEF06" w14:textId="76C5BF21" w:rsidR="00BD1DE5" w:rsidRPr="00B13D00" w:rsidRDefault="00BD1DE5" w:rsidP="00BD1DE5">
      <w:r>
        <w:t>This clause specifies the UE-internal interface procedures</w:t>
      </w:r>
      <w:r w:rsidR="008C0107">
        <w:t xml:space="preserve">, </w:t>
      </w:r>
      <w:r w:rsidR="00AE2DA3">
        <w:t xml:space="preserve">performed over the </w:t>
      </w:r>
      <w:r w:rsidR="00BE4343">
        <w:t>R6</w:t>
      </w:r>
      <w:r w:rsidR="006246B0">
        <w:t xml:space="preserve"> reference point</w:t>
      </w:r>
      <w:r w:rsidR="00BE4343">
        <w:t xml:space="preserve"> and the associated client API</w:t>
      </w:r>
      <w:r w:rsidR="006246B0">
        <w:t>,</w:t>
      </w:r>
      <w:r>
        <w:t xml:space="preserve"> between the </w:t>
      </w:r>
      <w:r w:rsidR="00FA0D74">
        <w:t>DC</w:t>
      </w:r>
      <w:r>
        <w:t xml:space="preserve"> Client and one or more UE Applications regarding UE data collection for subsequent reporting to the </w:t>
      </w:r>
      <w:r w:rsidR="00910392">
        <w:t>DC</w:t>
      </w:r>
      <w:r>
        <w:t xml:space="preserve"> AF.</w:t>
      </w:r>
    </w:p>
    <w:p w14:paraId="09F6D741" w14:textId="6AA2894A" w:rsidR="003F4C3E" w:rsidRDefault="00AA2728" w:rsidP="003F4C3E">
      <w:pPr>
        <w:pStyle w:val="Heading1"/>
      </w:pPr>
      <w:bookmarkStart w:id="39" w:name="_Toc76548424"/>
      <w:r>
        <w:t>7</w:t>
      </w:r>
      <w:r w:rsidR="003F4C3E" w:rsidRPr="004D3578">
        <w:tab/>
      </w:r>
      <w:r w:rsidR="00DF5325">
        <w:t>Security</w:t>
      </w:r>
      <w:r w:rsidR="009C4AE8">
        <w:t xml:space="preserve"> and access control</w:t>
      </w:r>
      <w:bookmarkEnd w:id="39"/>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40" w:name="_Toc76548425"/>
      <w:r w:rsidRPr="004D3578">
        <w:t>Annex &lt;A&gt;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0"/>
    </w:p>
    <w:p w14:paraId="0BDDC068" w14:textId="6FD26B60" w:rsidR="00F5362E" w:rsidRDefault="001B2EB9" w:rsidP="00F5362E">
      <w:pPr>
        <w:pStyle w:val="Heading1"/>
      </w:pPr>
      <w:bookmarkStart w:id="41" w:name="_Toc28013568"/>
      <w:bookmarkStart w:id="42" w:name="_Toc36040406"/>
      <w:bookmarkStart w:id="43" w:name="_Toc68899741"/>
      <w:bookmarkStart w:id="44" w:name="_Toc71214492"/>
      <w:bookmarkStart w:id="45" w:name="_Toc71722166"/>
      <w:bookmarkStart w:id="46" w:name="_Toc74859218"/>
      <w:bookmarkStart w:id="47" w:name="_Toc74917347"/>
      <w:bookmarkStart w:id="48" w:name="_Toc76548426"/>
      <w:r>
        <w:t>A</w:t>
      </w:r>
      <w:r w:rsidR="00F5362E">
        <w:t>.1</w:t>
      </w:r>
      <w:r w:rsidR="00F5362E">
        <w:tab/>
        <w:t>General</w:t>
      </w:r>
      <w:bookmarkEnd w:id="41"/>
      <w:bookmarkEnd w:id="42"/>
      <w:bookmarkEnd w:id="43"/>
      <w:bookmarkEnd w:id="44"/>
      <w:bookmarkEnd w:id="45"/>
      <w:bookmarkEnd w:id="46"/>
      <w:bookmarkEnd w:id="47"/>
      <w:bookmarkEnd w:id="48"/>
    </w:p>
    <w:p w14:paraId="2F8D333A" w14:textId="5B052ACA" w:rsidR="00600B4A" w:rsidRDefault="00600B4A" w:rsidP="00600B4A">
      <w:pPr>
        <w:rPr>
          <w:noProof/>
        </w:rPr>
      </w:pPr>
      <w:r>
        <w:rPr>
          <w:noProof/>
        </w:rPr>
        <w:t>This annex is based on the OpenAPI 3.0.0 specification [</w:t>
      </w:r>
      <w:r w:rsidR="00396585">
        <w:rPr>
          <w:noProof/>
        </w:rPr>
        <w:t>9</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49" w:name="_Toc7654842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0" w:name="_Toc76548428"/>
      <w:r w:rsidRPr="004D3578">
        <w:t>B.1</w:t>
      </w:r>
      <w:r w:rsidRPr="004D3578">
        <w:tab/>
        <w:t>Heading levels in an annex</w:t>
      </w:r>
      <w:bookmarkEnd w:id="5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51" w:name="_Toc76548429"/>
      <w:r w:rsidR="00080512" w:rsidRPr="004D3578">
        <w:lastRenderedPageBreak/>
        <w:t>Annex &lt;X&gt; (informative):</w:t>
      </w:r>
      <w:r w:rsidR="00080512" w:rsidRPr="004D3578">
        <w:br/>
        <w:t>Change history</w:t>
      </w:r>
      <w:bookmarkStart w:id="52" w:name="historyclause"/>
      <w:bookmarkEnd w:id="51"/>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60D3DD6A" w:rsidR="005E3F34" w:rsidRPr="006B0D02" w:rsidRDefault="005E3F34" w:rsidP="005E3F34">
            <w:pPr>
              <w:pStyle w:val="TAC"/>
              <w:rPr>
                <w:sz w:val="16"/>
                <w:szCs w:val="16"/>
              </w:rPr>
            </w:pPr>
          </w:p>
        </w:tc>
        <w:tc>
          <w:tcPr>
            <w:tcW w:w="910" w:type="dxa"/>
            <w:shd w:val="solid" w:color="FFFFFF" w:fill="auto"/>
          </w:tcPr>
          <w:p w14:paraId="55C8CC01" w14:textId="03DCCBEA" w:rsidR="005E3F34" w:rsidRPr="006B0D02" w:rsidRDefault="005E3F34" w:rsidP="005E3F34">
            <w:pPr>
              <w:pStyle w:val="TAC"/>
              <w:rPr>
                <w:sz w:val="16"/>
                <w:szCs w:val="16"/>
              </w:rPr>
            </w:pPr>
          </w:p>
        </w:tc>
        <w:tc>
          <w:tcPr>
            <w:tcW w:w="984" w:type="dxa"/>
            <w:shd w:val="solid" w:color="FFFFFF" w:fill="auto"/>
          </w:tcPr>
          <w:p w14:paraId="134723C6" w14:textId="77777777" w:rsidR="005E3F34" w:rsidRPr="006B0D02" w:rsidRDefault="005E3F34" w:rsidP="005E3F34">
            <w:pPr>
              <w:pStyle w:val="TAC"/>
              <w:rPr>
                <w:sz w:val="16"/>
                <w:szCs w:val="16"/>
              </w:rPr>
            </w:pP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1CE898CD" w:rsidR="005E3F34" w:rsidRPr="007D6048" w:rsidRDefault="005E3F34" w:rsidP="005E3F34">
            <w:pPr>
              <w:pStyle w:val="TAC"/>
              <w:rPr>
                <w:sz w:val="16"/>
                <w:szCs w:val="16"/>
              </w:rPr>
            </w:pP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8B2C" w14:textId="77777777" w:rsidR="00E7144F" w:rsidRDefault="00E7144F">
      <w:r>
        <w:separator/>
      </w:r>
    </w:p>
  </w:endnote>
  <w:endnote w:type="continuationSeparator" w:id="0">
    <w:p w14:paraId="078ADD8A" w14:textId="77777777" w:rsidR="00E7144F" w:rsidRDefault="00E7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CD27" w14:textId="77777777" w:rsidR="00E7144F" w:rsidRDefault="00E7144F">
      <w:r>
        <w:separator/>
      </w:r>
    </w:p>
  </w:footnote>
  <w:footnote w:type="continuationSeparator" w:id="0">
    <w:p w14:paraId="5B9A8DC0" w14:textId="77777777" w:rsidR="00E7144F" w:rsidRDefault="00E71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A641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ED6">
      <w:rPr>
        <w:rFonts w:ascii="Arial" w:hAnsi="Arial" w:cs="Arial"/>
        <w:b/>
        <w:noProof/>
        <w:sz w:val="18"/>
        <w:szCs w:val="18"/>
      </w:rPr>
      <w:t>3GPP TS 26.532 V0.0.2 (2021-07)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C1C3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ED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6"/>
    <w:rsid w:val="000024B7"/>
    <w:rsid w:val="00003F1A"/>
    <w:rsid w:val="00004ADD"/>
    <w:rsid w:val="000060BD"/>
    <w:rsid w:val="000104EF"/>
    <w:rsid w:val="00012D0A"/>
    <w:rsid w:val="000167BC"/>
    <w:rsid w:val="00021742"/>
    <w:rsid w:val="00022613"/>
    <w:rsid w:val="000309EB"/>
    <w:rsid w:val="00033397"/>
    <w:rsid w:val="00033C85"/>
    <w:rsid w:val="0003410C"/>
    <w:rsid w:val="00035DA9"/>
    <w:rsid w:val="0003669E"/>
    <w:rsid w:val="00037B61"/>
    <w:rsid w:val="00037D3F"/>
    <w:rsid w:val="00040095"/>
    <w:rsid w:val="00040F98"/>
    <w:rsid w:val="00042662"/>
    <w:rsid w:val="00042ACB"/>
    <w:rsid w:val="0004358E"/>
    <w:rsid w:val="000447BA"/>
    <w:rsid w:val="000455AB"/>
    <w:rsid w:val="000465FD"/>
    <w:rsid w:val="00051834"/>
    <w:rsid w:val="00052682"/>
    <w:rsid w:val="00052825"/>
    <w:rsid w:val="0005316D"/>
    <w:rsid w:val="00054A22"/>
    <w:rsid w:val="00055569"/>
    <w:rsid w:val="00057D7B"/>
    <w:rsid w:val="00061000"/>
    <w:rsid w:val="00062023"/>
    <w:rsid w:val="000628FD"/>
    <w:rsid w:val="00063A1B"/>
    <w:rsid w:val="00064D61"/>
    <w:rsid w:val="000655A6"/>
    <w:rsid w:val="0007043B"/>
    <w:rsid w:val="00070B2A"/>
    <w:rsid w:val="00074C27"/>
    <w:rsid w:val="000803E4"/>
    <w:rsid w:val="00080512"/>
    <w:rsid w:val="00080D6E"/>
    <w:rsid w:val="00080FB3"/>
    <w:rsid w:val="00081748"/>
    <w:rsid w:val="00083B72"/>
    <w:rsid w:val="00086E46"/>
    <w:rsid w:val="00090BE8"/>
    <w:rsid w:val="00091E58"/>
    <w:rsid w:val="000944D4"/>
    <w:rsid w:val="00096922"/>
    <w:rsid w:val="000A7D06"/>
    <w:rsid w:val="000B04FE"/>
    <w:rsid w:val="000B1CA8"/>
    <w:rsid w:val="000B201A"/>
    <w:rsid w:val="000B320C"/>
    <w:rsid w:val="000B5087"/>
    <w:rsid w:val="000C0724"/>
    <w:rsid w:val="000C47C3"/>
    <w:rsid w:val="000D10B2"/>
    <w:rsid w:val="000D1466"/>
    <w:rsid w:val="000D2432"/>
    <w:rsid w:val="000D58AB"/>
    <w:rsid w:val="000D7232"/>
    <w:rsid w:val="000E5425"/>
    <w:rsid w:val="000E6898"/>
    <w:rsid w:val="000E71CC"/>
    <w:rsid w:val="0010072F"/>
    <w:rsid w:val="00103ED2"/>
    <w:rsid w:val="00113A48"/>
    <w:rsid w:val="001148EF"/>
    <w:rsid w:val="0011494C"/>
    <w:rsid w:val="00115A84"/>
    <w:rsid w:val="001209B9"/>
    <w:rsid w:val="00122A69"/>
    <w:rsid w:val="00124BB4"/>
    <w:rsid w:val="00124C06"/>
    <w:rsid w:val="00133525"/>
    <w:rsid w:val="00134275"/>
    <w:rsid w:val="00137875"/>
    <w:rsid w:val="001378E6"/>
    <w:rsid w:val="001400ED"/>
    <w:rsid w:val="001422E9"/>
    <w:rsid w:val="001464D2"/>
    <w:rsid w:val="001468CF"/>
    <w:rsid w:val="001478D8"/>
    <w:rsid w:val="0015066C"/>
    <w:rsid w:val="00162E80"/>
    <w:rsid w:val="00164230"/>
    <w:rsid w:val="0016520F"/>
    <w:rsid w:val="00166AE8"/>
    <w:rsid w:val="00173BC6"/>
    <w:rsid w:val="00176313"/>
    <w:rsid w:val="00182ADC"/>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615F"/>
    <w:rsid w:val="001B6637"/>
    <w:rsid w:val="001C02A1"/>
    <w:rsid w:val="001C1AA6"/>
    <w:rsid w:val="001C21C3"/>
    <w:rsid w:val="001D02C2"/>
    <w:rsid w:val="001D6BB0"/>
    <w:rsid w:val="001E0256"/>
    <w:rsid w:val="001E2C4B"/>
    <w:rsid w:val="001F0C1D"/>
    <w:rsid w:val="001F1132"/>
    <w:rsid w:val="001F168B"/>
    <w:rsid w:val="00201C82"/>
    <w:rsid w:val="00210F3C"/>
    <w:rsid w:val="0021236D"/>
    <w:rsid w:val="00214CD1"/>
    <w:rsid w:val="00221ACB"/>
    <w:rsid w:val="002223D8"/>
    <w:rsid w:val="00225738"/>
    <w:rsid w:val="00230591"/>
    <w:rsid w:val="002347A2"/>
    <w:rsid w:val="00242906"/>
    <w:rsid w:val="0024461C"/>
    <w:rsid w:val="00246412"/>
    <w:rsid w:val="00250CE5"/>
    <w:rsid w:val="0026061B"/>
    <w:rsid w:val="0026314D"/>
    <w:rsid w:val="00263F47"/>
    <w:rsid w:val="002668E2"/>
    <w:rsid w:val="002675F0"/>
    <w:rsid w:val="00270A32"/>
    <w:rsid w:val="00270A73"/>
    <w:rsid w:val="002760EE"/>
    <w:rsid w:val="002762C4"/>
    <w:rsid w:val="002763E4"/>
    <w:rsid w:val="0027673D"/>
    <w:rsid w:val="00276E16"/>
    <w:rsid w:val="00284308"/>
    <w:rsid w:val="002867BC"/>
    <w:rsid w:val="00292D20"/>
    <w:rsid w:val="00293C5E"/>
    <w:rsid w:val="00296A31"/>
    <w:rsid w:val="00296D72"/>
    <w:rsid w:val="002970D0"/>
    <w:rsid w:val="002B4E35"/>
    <w:rsid w:val="002B6339"/>
    <w:rsid w:val="002B6407"/>
    <w:rsid w:val="002C130E"/>
    <w:rsid w:val="002C5D4B"/>
    <w:rsid w:val="002C74CA"/>
    <w:rsid w:val="002D163E"/>
    <w:rsid w:val="002D60E9"/>
    <w:rsid w:val="002E00EE"/>
    <w:rsid w:val="002E4D49"/>
    <w:rsid w:val="002E7DC8"/>
    <w:rsid w:val="002F075E"/>
    <w:rsid w:val="002F0C88"/>
    <w:rsid w:val="002F4949"/>
    <w:rsid w:val="002F762B"/>
    <w:rsid w:val="00306025"/>
    <w:rsid w:val="00307BF3"/>
    <w:rsid w:val="00307E42"/>
    <w:rsid w:val="00313FA9"/>
    <w:rsid w:val="00316221"/>
    <w:rsid w:val="003172DC"/>
    <w:rsid w:val="003178A4"/>
    <w:rsid w:val="00321254"/>
    <w:rsid w:val="003230A6"/>
    <w:rsid w:val="0032573D"/>
    <w:rsid w:val="00326745"/>
    <w:rsid w:val="003276B7"/>
    <w:rsid w:val="00332C65"/>
    <w:rsid w:val="003367F8"/>
    <w:rsid w:val="003372EC"/>
    <w:rsid w:val="003401B8"/>
    <w:rsid w:val="00340C40"/>
    <w:rsid w:val="00341897"/>
    <w:rsid w:val="00350A16"/>
    <w:rsid w:val="00351837"/>
    <w:rsid w:val="0035462D"/>
    <w:rsid w:val="00355F10"/>
    <w:rsid w:val="00356145"/>
    <w:rsid w:val="00356555"/>
    <w:rsid w:val="00356E5B"/>
    <w:rsid w:val="00360897"/>
    <w:rsid w:val="0036267F"/>
    <w:rsid w:val="00370ED0"/>
    <w:rsid w:val="00372A15"/>
    <w:rsid w:val="00374147"/>
    <w:rsid w:val="00376025"/>
    <w:rsid w:val="003765B8"/>
    <w:rsid w:val="003834D9"/>
    <w:rsid w:val="00393985"/>
    <w:rsid w:val="00393D6A"/>
    <w:rsid w:val="0039406B"/>
    <w:rsid w:val="00396585"/>
    <w:rsid w:val="003977F1"/>
    <w:rsid w:val="003A025E"/>
    <w:rsid w:val="003A2033"/>
    <w:rsid w:val="003A2C6B"/>
    <w:rsid w:val="003A4FCA"/>
    <w:rsid w:val="003A5678"/>
    <w:rsid w:val="003B0C25"/>
    <w:rsid w:val="003B2937"/>
    <w:rsid w:val="003C3971"/>
    <w:rsid w:val="003C3FB9"/>
    <w:rsid w:val="003D5398"/>
    <w:rsid w:val="003D649E"/>
    <w:rsid w:val="003E5AE9"/>
    <w:rsid w:val="003E7F09"/>
    <w:rsid w:val="003F0AA6"/>
    <w:rsid w:val="003F29A8"/>
    <w:rsid w:val="003F2B4E"/>
    <w:rsid w:val="003F4C3E"/>
    <w:rsid w:val="00406AAE"/>
    <w:rsid w:val="00406B5B"/>
    <w:rsid w:val="00406CFF"/>
    <w:rsid w:val="00412466"/>
    <w:rsid w:val="00417221"/>
    <w:rsid w:val="0042028D"/>
    <w:rsid w:val="004229D4"/>
    <w:rsid w:val="00423334"/>
    <w:rsid w:val="0042442C"/>
    <w:rsid w:val="00426813"/>
    <w:rsid w:val="004345EC"/>
    <w:rsid w:val="00435ADD"/>
    <w:rsid w:val="00437759"/>
    <w:rsid w:val="0044404A"/>
    <w:rsid w:val="004452CD"/>
    <w:rsid w:val="004474A8"/>
    <w:rsid w:val="00447A0F"/>
    <w:rsid w:val="00447AAF"/>
    <w:rsid w:val="0045639A"/>
    <w:rsid w:val="00457AED"/>
    <w:rsid w:val="00460359"/>
    <w:rsid w:val="00463EFA"/>
    <w:rsid w:val="004653F5"/>
    <w:rsid w:val="00465515"/>
    <w:rsid w:val="00465EB2"/>
    <w:rsid w:val="0047028C"/>
    <w:rsid w:val="004764AB"/>
    <w:rsid w:val="00483790"/>
    <w:rsid w:val="00485FA8"/>
    <w:rsid w:val="00486364"/>
    <w:rsid w:val="00494D11"/>
    <w:rsid w:val="0049751D"/>
    <w:rsid w:val="004A144D"/>
    <w:rsid w:val="004A381A"/>
    <w:rsid w:val="004A7E86"/>
    <w:rsid w:val="004B0C80"/>
    <w:rsid w:val="004B4C6F"/>
    <w:rsid w:val="004B73F1"/>
    <w:rsid w:val="004C1BF8"/>
    <w:rsid w:val="004C30AC"/>
    <w:rsid w:val="004D3578"/>
    <w:rsid w:val="004D4362"/>
    <w:rsid w:val="004D4A72"/>
    <w:rsid w:val="004D727E"/>
    <w:rsid w:val="004E1F84"/>
    <w:rsid w:val="004E213A"/>
    <w:rsid w:val="004E30C7"/>
    <w:rsid w:val="004E5180"/>
    <w:rsid w:val="004F0988"/>
    <w:rsid w:val="004F3340"/>
    <w:rsid w:val="004F46F8"/>
    <w:rsid w:val="004F509F"/>
    <w:rsid w:val="004F6762"/>
    <w:rsid w:val="00507C1B"/>
    <w:rsid w:val="0053388B"/>
    <w:rsid w:val="00535773"/>
    <w:rsid w:val="00543E6C"/>
    <w:rsid w:val="005446A2"/>
    <w:rsid w:val="00547180"/>
    <w:rsid w:val="005510EE"/>
    <w:rsid w:val="00553F6D"/>
    <w:rsid w:val="00556E80"/>
    <w:rsid w:val="0056170A"/>
    <w:rsid w:val="00565087"/>
    <w:rsid w:val="0056632F"/>
    <w:rsid w:val="00567C99"/>
    <w:rsid w:val="005708EF"/>
    <w:rsid w:val="00576310"/>
    <w:rsid w:val="0057699F"/>
    <w:rsid w:val="005802CB"/>
    <w:rsid w:val="005838F0"/>
    <w:rsid w:val="005857DA"/>
    <w:rsid w:val="00586A5D"/>
    <w:rsid w:val="00590503"/>
    <w:rsid w:val="005906CB"/>
    <w:rsid w:val="00591A9B"/>
    <w:rsid w:val="00592A2A"/>
    <w:rsid w:val="00595F56"/>
    <w:rsid w:val="00597B11"/>
    <w:rsid w:val="005A0A64"/>
    <w:rsid w:val="005A113F"/>
    <w:rsid w:val="005A47D5"/>
    <w:rsid w:val="005A7BFA"/>
    <w:rsid w:val="005B2ED6"/>
    <w:rsid w:val="005B618D"/>
    <w:rsid w:val="005B6975"/>
    <w:rsid w:val="005C4280"/>
    <w:rsid w:val="005C67DB"/>
    <w:rsid w:val="005D125E"/>
    <w:rsid w:val="005D2E01"/>
    <w:rsid w:val="005D39B6"/>
    <w:rsid w:val="005D6F33"/>
    <w:rsid w:val="005D7526"/>
    <w:rsid w:val="005E097F"/>
    <w:rsid w:val="005E3F34"/>
    <w:rsid w:val="005E4161"/>
    <w:rsid w:val="005E4BB2"/>
    <w:rsid w:val="005E5982"/>
    <w:rsid w:val="005F082E"/>
    <w:rsid w:val="005F1356"/>
    <w:rsid w:val="005F1973"/>
    <w:rsid w:val="005F4E31"/>
    <w:rsid w:val="005F67BE"/>
    <w:rsid w:val="005F788A"/>
    <w:rsid w:val="005F7F5D"/>
    <w:rsid w:val="006001A8"/>
    <w:rsid w:val="00600B4A"/>
    <w:rsid w:val="00602AEA"/>
    <w:rsid w:val="00612D02"/>
    <w:rsid w:val="00614FDF"/>
    <w:rsid w:val="00615661"/>
    <w:rsid w:val="0062159C"/>
    <w:rsid w:val="00622ED4"/>
    <w:rsid w:val="00623B8D"/>
    <w:rsid w:val="006246B0"/>
    <w:rsid w:val="006333BF"/>
    <w:rsid w:val="00633EB4"/>
    <w:rsid w:val="0063543D"/>
    <w:rsid w:val="00637A49"/>
    <w:rsid w:val="00643327"/>
    <w:rsid w:val="0064650C"/>
    <w:rsid w:val="00647114"/>
    <w:rsid w:val="0065368B"/>
    <w:rsid w:val="006577A2"/>
    <w:rsid w:val="00664226"/>
    <w:rsid w:val="00664CF6"/>
    <w:rsid w:val="00664DA9"/>
    <w:rsid w:val="00666217"/>
    <w:rsid w:val="006668DD"/>
    <w:rsid w:val="006679B4"/>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323F"/>
    <w:rsid w:val="006A5999"/>
    <w:rsid w:val="006B30D0"/>
    <w:rsid w:val="006B5208"/>
    <w:rsid w:val="006B5FA3"/>
    <w:rsid w:val="006B7F99"/>
    <w:rsid w:val="006C26FE"/>
    <w:rsid w:val="006C3D95"/>
    <w:rsid w:val="006C6671"/>
    <w:rsid w:val="006C74A1"/>
    <w:rsid w:val="006D11D1"/>
    <w:rsid w:val="006D4DB2"/>
    <w:rsid w:val="006D5ABE"/>
    <w:rsid w:val="006D66F9"/>
    <w:rsid w:val="006E0B19"/>
    <w:rsid w:val="006E5C86"/>
    <w:rsid w:val="006F53E5"/>
    <w:rsid w:val="006F6B91"/>
    <w:rsid w:val="006F7215"/>
    <w:rsid w:val="00701116"/>
    <w:rsid w:val="00703B24"/>
    <w:rsid w:val="0071174C"/>
    <w:rsid w:val="00711ACA"/>
    <w:rsid w:val="00713C44"/>
    <w:rsid w:val="007169A1"/>
    <w:rsid w:val="00717159"/>
    <w:rsid w:val="00717606"/>
    <w:rsid w:val="007205AE"/>
    <w:rsid w:val="0072422D"/>
    <w:rsid w:val="00724DB5"/>
    <w:rsid w:val="007275C7"/>
    <w:rsid w:val="00733D6D"/>
    <w:rsid w:val="007340B7"/>
    <w:rsid w:val="00734A5B"/>
    <w:rsid w:val="0074022F"/>
    <w:rsid w:val="0074026F"/>
    <w:rsid w:val="00741AE1"/>
    <w:rsid w:val="0074263B"/>
    <w:rsid w:val="007429F6"/>
    <w:rsid w:val="00744E76"/>
    <w:rsid w:val="00745730"/>
    <w:rsid w:val="007461A1"/>
    <w:rsid w:val="0075003B"/>
    <w:rsid w:val="007525F7"/>
    <w:rsid w:val="00753937"/>
    <w:rsid w:val="00753CC0"/>
    <w:rsid w:val="00764857"/>
    <w:rsid w:val="00765EA3"/>
    <w:rsid w:val="00770D0C"/>
    <w:rsid w:val="00773CEA"/>
    <w:rsid w:val="00774DA4"/>
    <w:rsid w:val="00775630"/>
    <w:rsid w:val="00776C30"/>
    <w:rsid w:val="0078179A"/>
    <w:rsid w:val="00781F0F"/>
    <w:rsid w:val="00785DC4"/>
    <w:rsid w:val="00786EA3"/>
    <w:rsid w:val="00787FEF"/>
    <w:rsid w:val="00794013"/>
    <w:rsid w:val="00795DCA"/>
    <w:rsid w:val="007A4896"/>
    <w:rsid w:val="007A5EDF"/>
    <w:rsid w:val="007B24C5"/>
    <w:rsid w:val="007B3661"/>
    <w:rsid w:val="007B548D"/>
    <w:rsid w:val="007B600E"/>
    <w:rsid w:val="007C0C0B"/>
    <w:rsid w:val="007C55B3"/>
    <w:rsid w:val="007C7481"/>
    <w:rsid w:val="007D477C"/>
    <w:rsid w:val="007E2B11"/>
    <w:rsid w:val="007E491F"/>
    <w:rsid w:val="007E54ED"/>
    <w:rsid w:val="007E7A88"/>
    <w:rsid w:val="007F0CAE"/>
    <w:rsid w:val="007F0F4A"/>
    <w:rsid w:val="007F118E"/>
    <w:rsid w:val="007F3261"/>
    <w:rsid w:val="007F6FD8"/>
    <w:rsid w:val="007F7A6B"/>
    <w:rsid w:val="008007EA"/>
    <w:rsid w:val="008021BC"/>
    <w:rsid w:val="008028A4"/>
    <w:rsid w:val="00805C71"/>
    <w:rsid w:val="00807D06"/>
    <w:rsid w:val="0081116B"/>
    <w:rsid w:val="008121F0"/>
    <w:rsid w:val="00812CC9"/>
    <w:rsid w:val="00814385"/>
    <w:rsid w:val="00814C71"/>
    <w:rsid w:val="00823A5B"/>
    <w:rsid w:val="008304C9"/>
    <w:rsid w:val="00830747"/>
    <w:rsid w:val="0083369C"/>
    <w:rsid w:val="00835635"/>
    <w:rsid w:val="008364D5"/>
    <w:rsid w:val="008445BE"/>
    <w:rsid w:val="00846FF8"/>
    <w:rsid w:val="008532E3"/>
    <w:rsid w:val="0085657E"/>
    <w:rsid w:val="00861F21"/>
    <w:rsid w:val="00863744"/>
    <w:rsid w:val="00863933"/>
    <w:rsid w:val="008726E9"/>
    <w:rsid w:val="00875F01"/>
    <w:rsid w:val="008768CA"/>
    <w:rsid w:val="00876B77"/>
    <w:rsid w:val="00877816"/>
    <w:rsid w:val="00881100"/>
    <w:rsid w:val="00885EA7"/>
    <w:rsid w:val="00891488"/>
    <w:rsid w:val="00891E64"/>
    <w:rsid w:val="008944DC"/>
    <w:rsid w:val="00894749"/>
    <w:rsid w:val="00895E9D"/>
    <w:rsid w:val="00896B59"/>
    <w:rsid w:val="00897F94"/>
    <w:rsid w:val="008A10FC"/>
    <w:rsid w:val="008A4E34"/>
    <w:rsid w:val="008B0796"/>
    <w:rsid w:val="008B2360"/>
    <w:rsid w:val="008B6715"/>
    <w:rsid w:val="008C0107"/>
    <w:rsid w:val="008C384C"/>
    <w:rsid w:val="008D2451"/>
    <w:rsid w:val="008D4FEC"/>
    <w:rsid w:val="008D6EBD"/>
    <w:rsid w:val="008E2D68"/>
    <w:rsid w:val="008E6756"/>
    <w:rsid w:val="008F06C5"/>
    <w:rsid w:val="008F28B5"/>
    <w:rsid w:val="008F7ED8"/>
    <w:rsid w:val="00901A79"/>
    <w:rsid w:val="0090271F"/>
    <w:rsid w:val="00902E23"/>
    <w:rsid w:val="00906767"/>
    <w:rsid w:val="00910392"/>
    <w:rsid w:val="009114D7"/>
    <w:rsid w:val="0091348E"/>
    <w:rsid w:val="00916642"/>
    <w:rsid w:val="00917CCB"/>
    <w:rsid w:val="009211C1"/>
    <w:rsid w:val="0092126A"/>
    <w:rsid w:val="0092156C"/>
    <w:rsid w:val="009257ED"/>
    <w:rsid w:val="00933FB0"/>
    <w:rsid w:val="00942EC2"/>
    <w:rsid w:val="00947581"/>
    <w:rsid w:val="009503DA"/>
    <w:rsid w:val="00951283"/>
    <w:rsid w:val="0095303D"/>
    <w:rsid w:val="0095714B"/>
    <w:rsid w:val="0096570B"/>
    <w:rsid w:val="0097432C"/>
    <w:rsid w:val="0098575A"/>
    <w:rsid w:val="00986DCE"/>
    <w:rsid w:val="009912F4"/>
    <w:rsid w:val="00997501"/>
    <w:rsid w:val="00997B9D"/>
    <w:rsid w:val="009A043B"/>
    <w:rsid w:val="009A08DA"/>
    <w:rsid w:val="009A10C8"/>
    <w:rsid w:val="009A3A21"/>
    <w:rsid w:val="009A65BE"/>
    <w:rsid w:val="009A682F"/>
    <w:rsid w:val="009A7766"/>
    <w:rsid w:val="009B2E9F"/>
    <w:rsid w:val="009B6999"/>
    <w:rsid w:val="009C1171"/>
    <w:rsid w:val="009C1654"/>
    <w:rsid w:val="009C27F7"/>
    <w:rsid w:val="009C2E09"/>
    <w:rsid w:val="009C3106"/>
    <w:rsid w:val="009C4AE8"/>
    <w:rsid w:val="009C4AF4"/>
    <w:rsid w:val="009C5A8F"/>
    <w:rsid w:val="009C6A9F"/>
    <w:rsid w:val="009D2305"/>
    <w:rsid w:val="009D303C"/>
    <w:rsid w:val="009F37B7"/>
    <w:rsid w:val="009F506A"/>
    <w:rsid w:val="00A02921"/>
    <w:rsid w:val="00A0524F"/>
    <w:rsid w:val="00A070E6"/>
    <w:rsid w:val="00A10A82"/>
    <w:rsid w:val="00A10B56"/>
    <w:rsid w:val="00A10F02"/>
    <w:rsid w:val="00A11022"/>
    <w:rsid w:val="00A15B9B"/>
    <w:rsid w:val="00A164B4"/>
    <w:rsid w:val="00A22E8A"/>
    <w:rsid w:val="00A23A60"/>
    <w:rsid w:val="00A24F5E"/>
    <w:rsid w:val="00A25846"/>
    <w:rsid w:val="00A26956"/>
    <w:rsid w:val="00A27486"/>
    <w:rsid w:val="00A3141A"/>
    <w:rsid w:val="00A315A8"/>
    <w:rsid w:val="00A33881"/>
    <w:rsid w:val="00A41FED"/>
    <w:rsid w:val="00A454E5"/>
    <w:rsid w:val="00A46074"/>
    <w:rsid w:val="00A53327"/>
    <w:rsid w:val="00A53724"/>
    <w:rsid w:val="00A541AB"/>
    <w:rsid w:val="00A56066"/>
    <w:rsid w:val="00A636ED"/>
    <w:rsid w:val="00A65ECC"/>
    <w:rsid w:val="00A67A57"/>
    <w:rsid w:val="00A702FF"/>
    <w:rsid w:val="00A719EE"/>
    <w:rsid w:val="00A72658"/>
    <w:rsid w:val="00A73129"/>
    <w:rsid w:val="00A74241"/>
    <w:rsid w:val="00A76FE8"/>
    <w:rsid w:val="00A82346"/>
    <w:rsid w:val="00A852FB"/>
    <w:rsid w:val="00A91C88"/>
    <w:rsid w:val="00A91D42"/>
    <w:rsid w:val="00A92BA1"/>
    <w:rsid w:val="00A94EEE"/>
    <w:rsid w:val="00A95A32"/>
    <w:rsid w:val="00AA11D3"/>
    <w:rsid w:val="00AA1722"/>
    <w:rsid w:val="00AA2345"/>
    <w:rsid w:val="00AA2728"/>
    <w:rsid w:val="00AA3671"/>
    <w:rsid w:val="00AA4ACD"/>
    <w:rsid w:val="00AA6A90"/>
    <w:rsid w:val="00AB4A5D"/>
    <w:rsid w:val="00AB67B0"/>
    <w:rsid w:val="00AC09B4"/>
    <w:rsid w:val="00AC1A72"/>
    <w:rsid w:val="00AC1D99"/>
    <w:rsid w:val="00AC6BC6"/>
    <w:rsid w:val="00AD034D"/>
    <w:rsid w:val="00AD08F9"/>
    <w:rsid w:val="00AD0CAD"/>
    <w:rsid w:val="00AD4596"/>
    <w:rsid w:val="00AD5A40"/>
    <w:rsid w:val="00AD714C"/>
    <w:rsid w:val="00AE1EF9"/>
    <w:rsid w:val="00AE2DA3"/>
    <w:rsid w:val="00AE2F61"/>
    <w:rsid w:val="00AE3269"/>
    <w:rsid w:val="00AE3E7C"/>
    <w:rsid w:val="00AE65E2"/>
    <w:rsid w:val="00AF1460"/>
    <w:rsid w:val="00AF2720"/>
    <w:rsid w:val="00AF77DF"/>
    <w:rsid w:val="00B00144"/>
    <w:rsid w:val="00B00C0C"/>
    <w:rsid w:val="00B01130"/>
    <w:rsid w:val="00B061F1"/>
    <w:rsid w:val="00B102DA"/>
    <w:rsid w:val="00B104EF"/>
    <w:rsid w:val="00B123F6"/>
    <w:rsid w:val="00B134E6"/>
    <w:rsid w:val="00B13834"/>
    <w:rsid w:val="00B13D00"/>
    <w:rsid w:val="00B14E43"/>
    <w:rsid w:val="00B15449"/>
    <w:rsid w:val="00B175CB"/>
    <w:rsid w:val="00B17DA3"/>
    <w:rsid w:val="00B2180F"/>
    <w:rsid w:val="00B219AC"/>
    <w:rsid w:val="00B244A3"/>
    <w:rsid w:val="00B321C4"/>
    <w:rsid w:val="00B33F95"/>
    <w:rsid w:val="00B343CD"/>
    <w:rsid w:val="00B35A89"/>
    <w:rsid w:val="00B469D8"/>
    <w:rsid w:val="00B550C1"/>
    <w:rsid w:val="00B603B1"/>
    <w:rsid w:val="00B60CBC"/>
    <w:rsid w:val="00B61889"/>
    <w:rsid w:val="00B61A1E"/>
    <w:rsid w:val="00B6310B"/>
    <w:rsid w:val="00B663DB"/>
    <w:rsid w:val="00B740AC"/>
    <w:rsid w:val="00B76A4A"/>
    <w:rsid w:val="00B861BD"/>
    <w:rsid w:val="00B862B7"/>
    <w:rsid w:val="00B8674A"/>
    <w:rsid w:val="00B93086"/>
    <w:rsid w:val="00BA0838"/>
    <w:rsid w:val="00BA1444"/>
    <w:rsid w:val="00BA19ED"/>
    <w:rsid w:val="00BA4B8D"/>
    <w:rsid w:val="00BA54AF"/>
    <w:rsid w:val="00BA7762"/>
    <w:rsid w:val="00BB19B6"/>
    <w:rsid w:val="00BB53CC"/>
    <w:rsid w:val="00BC0F7D"/>
    <w:rsid w:val="00BC1B8D"/>
    <w:rsid w:val="00BC2ECB"/>
    <w:rsid w:val="00BC604F"/>
    <w:rsid w:val="00BD0EED"/>
    <w:rsid w:val="00BD1B0E"/>
    <w:rsid w:val="00BD1DE5"/>
    <w:rsid w:val="00BD31E9"/>
    <w:rsid w:val="00BD7D31"/>
    <w:rsid w:val="00BE2184"/>
    <w:rsid w:val="00BE2EEB"/>
    <w:rsid w:val="00BE3255"/>
    <w:rsid w:val="00BE40B2"/>
    <w:rsid w:val="00BE4343"/>
    <w:rsid w:val="00BE54FB"/>
    <w:rsid w:val="00BE6900"/>
    <w:rsid w:val="00BF0197"/>
    <w:rsid w:val="00BF128E"/>
    <w:rsid w:val="00BF370B"/>
    <w:rsid w:val="00BF4328"/>
    <w:rsid w:val="00BF4627"/>
    <w:rsid w:val="00C0413D"/>
    <w:rsid w:val="00C05551"/>
    <w:rsid w:val="00C05787"/>
    <w:rsid w:val="00C074DD"/>
    <w:rsid w:val="00C12B23"/>
    <w:rsid w:val="00C1496A"/>
    <w:rsid w:val="00C15EEE"/>
    <w:rsid w:val="00C25C5E"/>
    <w:rsid w:val="00C27EA4"/>
    <w:rsid w:val="00C33079"/>
    <w:rsid w:val="00C37273"/>
    <w:rsid w:val="00C4031F"/>
    <w:rsid w:val="00C41F08"/>
    <w:rsid w:val="00C45231"/>
    <w:rsid w:val="00C473F0"/>
    <w:rsid w:val="00C50A78"/>
    <w:rsid w:val="00C51CA1"/>
    <w:rsid w:val="00C551FF"/>
    <w:rsid w:val="00C57271"/>
    <w:rsid w:val="00C6169C"/>
    <w:rsid w:val="00C6238C"/>
    <w:rsid w:val="00C62FD1"/>
    <w:rsid w:val="00C668E7"/>
    <w:rsid w:val="00C67C6F"/>
    <w:rsid w:val="00C72833"/>
    <w:rsid w:val="00C80F1D"/>
    <w:rsid w:val="00C80F9C"/>
    <w:rsid w:val="00C81891"/>
    <w:rsid w:val="00C853B9"/>
    <w:rsid w:val="00C91962"/>
    <w:rsid w:val="00C93F40"/>
    <w:rsid w:val="00C9436A"/>
    <w:rsid w:val="00CA3D0C"/>
    <w:rsid w:val="00CA5586"/>
    <w:rsid w:val="00CA7A5E"/>
    <w:rsid w:val="00CB097B"/>
    <w:rsid w:val="00CB6982"/>
    <w:rsid w:val="00CC2198"/>
    <w:rsid w:val="00CC5235"/>
    <w:rsid w:val="00CC523B"/>
    <w:rsid w:val="00CD040F"/>
    <w:rsid w:val="00CD347B"/>
    <w:rsid w:val="00CD3862"/>
    <w:rsid w:val="00CE0FE5"/>
    <w:rsid w:val="00CE1569"/>
    <w:rsid w:val="00CE5238"/>
    <w:rsid w:val="00CE65A2"/>
    <w:rsid w:val="00CE65C7"/>
    <w:rsid w:val="00CF1A49"/>
    <w:rsid w:val="00CF23C8"/>
    <w:rsid w:val="00CF6CE4"/>
    <w:rsid w:val="00CF788B"/>
    <w:rsid w:val="00D002EC"/>
    <w:rsid w:val="00D04855"/>
    <w:rsid w:val="00D101EF"/>
    <w:rsid w:val="00D117B0"/>
    <w:rsid w:val="00D131D2"/>
    <w:rsid w:val="00D16EF6"/>
    <w:rsid w:val="00D179A2"/>
    <w:rsid w:val="00D21DEB"/>
    <w:rsid w:val="00D246D0"/>
    <w:rsid w:val="00D2606C"/>
    <w:rsid w:val="00D26A5C"/>
    <w:rsid w:val="00D3059F"/>
    <w:rsid w:val="00D34C61"/>
    <w:rsid w:val="00D4194F"/>
    <w:rsid w:val="00D441FA"/>
    <w:rsid w:val="00D50BB5"/>
    <w:rsid w:val="00D50D2C"/>
    <w:rsid w:val="00D51F13"/>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C309B"/>
    <w:rsid w:val="00DC4DA2"/>
    <w:rsid w:val="00DD362C"/>
    <w:rsid w:val="00DD43C9"/>
    <w:rsid w:val="00DD4C17"/>
    <w:rsid w:val="00DD74A5"/>
    <w:rsid w:val="00DE3245"/>
    <w:rsid w:val="00DE6F61"/>
    <w:rsid w:val="00DF2B1F"/>
    <w:rsid w:val="00DF4810"/>
    <w:rsid w:val="00DF5325"/>
    <w:rsid w:val="00DF62CD"/>
    <w:rsid w:val="00E023E7"/>
    <w:rsid w:val="00E071E4"/>
    <w:rsid w:val="00E16509"/>
    <w:rsid w:val="00E223C8"/>
    <w:rsid w:val="00E24FB2"/>
    <w:rsid w:val="00E25F02"/>
    <w:rsid w:val="00E30371"/>
    <w:rsid w:val="00E30B4A"/>
    <w:rsid w:val="00E31064"/>
    <w:rsid w:val="00E31075"/>
    <w:rsid w:val="00E31670"/>
    <w:rsid w:val="00E325BF"/>
    <w:rsid w:val="00E437BC"/>
    <w:rsid w:val="00E43A96"/>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24F"/>
    <w:rsid w:val="00E97797"/>
    <w:rsid w:val="00EA0CA3"/>
    <w:rsid w:val="00EA15B0"/>
    <w:rsid w:val="00EA5EA7"/>
    <w:rsid w:val="00EA712D"/>
    <w:rsid w:val="00EA7B03"/>
    <w:rsid w:val="00EB00B8"/>
    <w:rsid w:val="00EB17E9"/>
    <w:rsid w:val="00EC1FBA"/>
    <w:rsid w:val="00EC2073"/>
    <w:rsid w:val="00EC4544"/>
    <w:rsid w:val="00EC4A25"/>
    <w:rsid w:val="00EC5AD8"/>
    <w:rsid w:val="00EC69BE"/>
    <w:rsid w:val="00ED0EE9"/>
    <w:rsid w:val="00ED1CD2"/>
    <w:rsid w:val="00ED4A83"/>
    <w:rsid w:val="00EE01AA"/>
    <w:rsid w:val="00EE061E"/>
    <w:rsid w:val="00EE73BD"/>
    <w:rsid w:val="00EF608C"/>
    <w:rsid w:val="00F025A2"/>
    <w:rsid w:val="00F04712"/>
    <w:rsid w:val="00F05CD2"/>
    <w:rsid w:val="00F13360"/>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1DBF"/>
    <w:rsid w:val="00F61E59"/>
    <w:rsid w:val="00F63B43"/>
    <w:rsid w:val="00F653B8"/>
    <w:rsid w:val="00F75A79"/>
    <w:rsid w:val="00F8092D"/>
    <w:rsid w:val="00F85558"/>
    <w:rsid w:val="00F9008D"/>
    <w:rsid w:val="00F93D21"/>
    <w:rsid w:val="00FA0D74"/>
    <w:rsid w:val="00FA1266"/>
    <w:rsid w:val="00FB5579"/>
    <w:rsid w:val="00FC0456"/>
    <w:rsid w:val="00FC1192"/>
    <w:rsid w:val="00FC20BC"/>
    <w:rsid w:val="00FC6250"/>
    <w:rsid w:val="00FC7AEE"/>
    <w:rsid w:val="00FD017C"/>
    <w:rsid w:val="00FD3141"/>
    <w:rsid w:val="00FD628F"/>
    <w:rsid w:val="00FD7D95"/>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2429</Words>
  <Characters>13848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2</cp:revision>
  <cp:lastPrinted>2019-02-25T14:05:00Z</cp:lastPrinted>
  <dcterms:created xsi:type="dcterms:W3CDTF">2021-07-19T20:42:00Z</dcterms:created>
  <dcterms:modified xsi:type="dcterms:W3CDTF">2021-07-19T20:42:00Z</dcterms:modified>
</cp:coreProperties>
</file>